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099300" cy="100584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099300" cy="10058400"/>
                    </a:xfrm>
                    <a:prstGeom prst="rect">
                      <a:avLst/>
                    </a:prstGeom>
                  </pic:spPr>
                </pic:pic>
              </a:graphicData>
            </a:graphic>
          </wp:anchor>
        </w:drawing>
      </w:r>
    </w:p>
    <w:p>
      <w:pPr>
        <w:pStyle w:val="BodyText"/>
        <w:spacing w:after="0"/>
        <w:rPr>
          <w:rFonts w:ascii="Times New Roman"/>
          <w:sz w:val="17"/>
        </w:rPr>
        <w:sectPr>
          <w:type w:val="continuous"/>
          <w:pgSz w:w="11180" w:h="15840"/>
          <w:pgMar w:top="1820" w:bottom="280" w:left="1559" w:right="1559"/>
        </w:sectPr>
      </w:pPr>
    </w:p>
    <w:p>
      <w:pPr>
        <w:pStyle w:val="Heading1"/>
        <w:ind w:left="1576"/>
      </w:pPr>
      <w:r>
        <w:rPr/>
        <w:t>RELATÓRIO</w:t>
      </w:r>
      <w:r>
        <w:rPr>
          <w:spacing w:val="-7"/>
        </w:rPr>
        <w:t> </w:t>
      </w:r>
      <w:r>
        <w:rPr/>
        <w:t>DE</w:t>
      </w:r>
      <w:r>
        <w:rPr>
          <w:spacing w:val="-5"/>
        </w:rPr>
        <w:t> </w:t>
      </w:r>
      <w:r>
        <w:rPr/>
        <w:t>PEDIDO</w:t>
      </w:r>
      <w:r>
        <w:rPr>
          <w:spacing w:val="-5"/>
        </w:rPr>
        <w:t> </w:t>
      </w:r>
      <w:r>
        <w:rPr/>
        <w:t>DE</w:t>
      </w:r>
      <w:r>
        <w:rPr>
          <w:spacing w:val="-4"/>
        </w:rPr>
        <w:t> </w:t>
      </w:r>
      <w:r>
        <w:rPr>
          <w:spacing w:val="-2"/>
        </w:rPr>
        <w:t>INFORMAÇÃO</w:t>
      </w:r>
    </w:p>
    <w:p>
      <w:pPr>
        <w:spacing w:before="224"/>
        <w:ind w:left="0" w:right="259" w:firstLine="0"/>
        <w:jc w:val="center"/>
        <w:rPr>
          <w:rFonts w:ascii="Arial" w:hAnsi="Arial"/>
          <w:b/>
          <w:sz w:val="24"/>
        </w:rPr>
      </w:pPr>
      <w:r>
        <w:rPr>
          <w:rFonts w:ascii="Arial" w:hAnsi="Arial"/>
          <w:b/>
          <w:sz w:val="24"/>
        </w:rPr>
        <w:t>Exercício</w:t>
      </w:r>
      <w:r>
        <w:rPr>
          <w:rFonts w:ascii="Arial" w:hAnsi="Arial"/>
          <w:b/>
          <w:spacing w:val="-9"/>
          <w:sz w:val="24"/>
        </w:rPr>
        <w:t> </w:t>
      </w:r>
      <w:r>
        <w:rPr>
          <w:rFonts w:ascii="Arial" w:hAnsi="Arial"/>
          <w:b/>
          <w:spacing w:val="-4"/>
          <w:sz w:val="24"/>
        </w:rPr>
        <w:t>2025</w:t>
      </w:r>
    </w:p>
    <w:p>
      <w:pPr>
        <w:pStyle w:val="BodyText"/>
        <w:rPr>
          <w:rFonts w:ascii="Arial"/>
          <w:b/>
        </w:rPr>
      </w:pPr>
    </w:p>
    <w:p>
      <w:pPr>
        <w:pStyle w:val="BodyText"/>
        <w:rPr>
          <w:rFonts w:ascii="Arial"/>
          <w:b/>
        </w:rPr>
      </w:pPr>
    </w:p>
    <w:p>
      <w:pPr>
        <w:pStyle w:val="BodyText"/>
        <w:spacing w:before="265"/>
        <w:rPr>
          <w:rFonts w:ascii="Arial"/>
          <w:b/>
        </w:rPr>
      </w:pPr>
    </w:p>
    <w:p>
      <w:pPr>
        <w:pStyle w:val="BodyText"/>
        <w:spacing w:line="331" w:lineRule="auto"/>
        <w:ind w:left="144" w:right="285" w:firstLine="720"/>
        <w:jc w:val="both"/>
      </w:pPr>
      <w:r>
        <w:rPr/>
        <w:t>Este documento contém cálculos e interpretações elaborados com base em ferramenta desenvolvida pela Secretaria de Administração e Planejamento (SAP) em conjunto com a Secretaria de Comunicação (SECOM) da Prefeitura de Joinville, gerados nos 12 meses compreendidos entre 01/01/2025 e </w:t>
      </w:r>
      <w:r>
        <w:rPr>
          <w:spacing w:val="-2"/>
        </w:rPr>
        <w:t>31/12/2025.</w:t>
      </w:r>
    </w:p>
    <w:p>
      <w:pPr>
        <w:pStyle w:val="BodyText"/>
        <w:spacing w:line="331" w:lineRule="auto" w:before="116"/>
        <w:ind w:left="144" w:right="280" w:firstLine="720"/>
        <w:jc w:val="both"/>
      </w:pPr>
      <w:r>
        <w:rPr/>
        <w:t>O processo do tipo "Atendimento ao Cidadão - Pedido de Informação" é regulamentado por meio da do </w:t>
      </w:r>
      <w:hyperlink r:id="rId7">
        <w:r>
          <w:rPr>
            <w:color w:val="1154CC"/>
            <w:u w:val="single" w:color="1154CC"/>
          </w:rPr>
          <w:t>Decreto 27.448, de 18 de agosto de 2016</w:t>
        </w:r>
      </w:hyperlink>
      <w:r>
        <w:rPr>
          <w:color w:val="1154CC"/>
        </w:rPr>
        <w:t> </w:t>
      </w:r>
      <w:r>
        <w:rPr/>
        <w:t>e Instrução Normativa Conjunta SEI nº 157/2022 (</w:t>
      </w:r>
      <w:hyperlink r:id="rId8">
        <w:r>
          <w:rPr>
            <w:color w:val="1154CC"/>
            <w:u w:val="single" w:color="1154CC"/>
          </w:rPr>
          <w:t>0014082911</w:t>
        </w:r>
      </w:hyperlink>
      <w:r>
        <w:rPr/>
        <w:t>) aprovada por meio de DECRETO Nº 50.880, de 04 de outubro de 2022. (</w:t>
      </w:r>
      <w:hyperlink r:id="rId9">
        <w:r>
          <w:rPr>
            <w:color w:val="1154CC"/>
            <w:u w:val="single" w:color="1154CC"/>
          </w:rPr>
          <w:t>0014515232</w:t>
        </w:r>
      </w:hyperlink>
      <w:r>
        <w:rPr/>
        <w:t>).</w:t>
      </w:r>
    </w:p>
    <w:p>
      <w:pPr>
        <w:pStyle w:val="BodyText"/>
        <w:spacing w:line="331" w:lineRule="auto" w:before="120"/>
        <w:ind w:left="144" w:right="287" w:firstLine="720"/>
        <w:jc w:val="both"/>
      </w:pPr>
      <w:r>
        <w:rPr/>
        <w:t>Esse tipo de processo é gerado, exclusivamente, a partir de manifestação de usuário – diretamente ou com auxílio/intermediação de atendente – registrada por meio de Formulário de Acesso à Informação, disponível na Carta de Serviço "</w:t>
      </w:r>
      <w:hyperlink r:id="rId10">
        <w:r>
          <w:rPr>
            <w:color w:val="1154CC"/>
            <w:u w:val="single" w:color="1154CC"/>
          </w:rPr>
          <w:t>Registrar Pedido de Informação</w:t>
        </w:r>
      </w:hyperlink>
      <w:r>
        <w:rPr/>
        <w:t>".</w:t>
      </w:r>
    </w:p>
    <w:p>
      <w:pPr>
        <w:pStyle w:val="BodyText"/>
        <w:spacing w:line="331" w:lineRule="auto" w:before="117"/>
        <w:ind w:left="144" w:right="285" w:firstLine="720"/>
        <w:jc w:val="both"/>
      </w:pPr>
      <w:r>
        <w:rPr/>
        <w:t>Dado que a atribuição de assuntos a um processo é uma atividade bastante subjetiva e rápida, executada por atendente no ato do despacho de um processo, podem haver divergências de dados em relação a outros relatórios que porventura venham a ser gerados ou já tenham sido produzidos.</w:t>
      </w:r>
    </w:p>
    <w:p>
      <w:pPr>
        <w:pStyle w:val="BodyText"/>
        <w:spacing w:line="331" w:lineRule="auto" w:before="117"/>
        <w:ind w:left="144" w:right="289" w:firstLine="720"/>
        <w:jc w:val="both"/>
      </w:pPr>
      <w:r>
        <w:rPr/>
        <w:t>Os tópicos a seguir, por razões de padronização, visam atender o art.50 do </w:t>
      </w:r>
      <w:hyperlink r:id="rId7">
        <w:r>
          <w:rPr>
            <w:color w:val="1154CC"/>
            <w:u w:val="single" w:color="1154CC"/>
          </w:rPr>
          <w:t>Decreto 27.448/2016</w:t>
        </w:r>
      </w:hyperlink>
      <w:r>
        <w:rPr>
          <w:color w:val="1154CC"/>
          <w:spacing w:val="-8"/>
        </w:rPr>
        <w:t> </w:t>
      </w:r>
      <w:r>
        <w:rPr/>
        <w:t>bem como o art.30, III, da</w:t>
      </w:r>
      <w:hyperlink r:id="rId11">
        <w:r>
          <w:rPr>
            <w:color w:val="1154CC"/>
            <w:u w:val="single" w:color="1154CC"/>
          </w:rPr>
          <w:t> Lei nº 12.527/2011</w:t>
        </w:r>
      </w:hyperlink>
      <w:r>
        <w:rPr/>
        <w:t>.</w:t>
      </w:r>
    </w:p>
    <w:p>
      <w:pPr>
        <w:pStyle w:val="BodyText"/>
        <w:spacing w:after="0" w:line="331" w:lineRule="auto"/>
        <w:jc w:val="both"/>
        <w:sectPr>
          <w:footerReference w:type="default" r:id="rId6"/>
          <w:pgSz w:w="11910" w:h="16840"/>
          <w:pgMar w:header="0" w:footer="972" w:top="1440" w:bottom="1160" w:left="1559" w:right="1417"/>
        </w:sectPr>
      </w:pPr>
    </w:p>
    <w:p>
      <w:pPr>
        <w:pStyle w:val="BodyText"/>
        <w:spacing w:before="79"/>
        <w:ind w:left="864"/>
      </w:pPr>
      <w:r>
        <w:rPr/>
        <w:t>Quantidade</w:t>
      </w:r>
      <w:r>
        <w:rPr>
          <w:spacing w:val="-5"/>
        </w:rPr>
        <w:t> </w:t>
      </w:r>
      <w:r>
        <w:rPr/>
        <w:t>de</w:t>
      </w:r>
      <w:r>
        <w:rPr>
          <w:spacing w:val="-5"/>
        </w:rPr>
        <w:t> </w:t>
      </w:r>
      <w:r>
        <w:rPr/>
        <w:t>pedidos</w:t>
      </w:r>
      <w:r>
        <w:rPr>
          <w:spacing w:val="-5"/>
        </w:rPr>
        <w:t> </w:t>
      </w:r>
      <w:r>
        <w:rPr/>
        <w:t>de</w:t>
      </w:r>
      <w:r>
        <w:rPr>
          <w:spacing w:val="-5"/>
        </w:rPr>
        <w:t> </w:t>
      </w:r>
      <w:r>
        <w:rPr/>
        <w:t>informação</w:t>
      </w:r>
      <w:r>
        <w:rPr>
          <w:spacing w:val="-5"/>
        </w:rPr>
        <w:t> </w:t>
      </w:r>
      <w:r>
        <w:rPr>
          <w:spacing w:val="-2"/>
        </w:rPr>
        <w:t>recebidos</w:t>
      </w:r>
    </w:p>
    <w:p>
      <w:pPr>
        <w:pStyle w:val="BodyText"/>
        <w:spacing w:before="68"/>
      </w:pPr>
    </w:p>
    <w:p>
      <w:pPr>
        <w:spacing w:line="331" w:lineRule="auto" w:before="0"/>
        <w:ind w:left="144" w:right="92" w:firstLine="708"/>
        <w:jc w:val="left"/>
        <w:rPr>
          <w:sz w:val="24"/>
        </w:rPr>
      </w:pPr>
      <w:r>
        <w:rPr>
          <w:sz w:val="24"/>
        </w:rPr>
        <w:t>No</w:t>
      </w:r>
      <w:r>
        <w:rPr>
          <w:spacing w:val="-3"/>
          <w:sz w:val="24"/>
        </w:rPr>
        <w:t> </w:t>
      </w:r>
      <w:r>
        <w:rPr>
          <w:sz w:val="24"/>
        </w:rPr>
        <w:t>período</w:t>
      </w:r>
      <w:r>
        <w:rPr>
          <w:spacing w:val="-3"/>
          <w:sz w:val="24"/>
        </w:rPr>
        <w:t> </w:t>
      </w:r>
      <w:r>
        <w:rPr>
          <w:sz w:val="24"/>
        </w:rPr>
        <w:t>compreendido</w:t>
      </w:r>
      <w:r>
        <w:rPr>
          <w:spacing w:val="-3"/>
          <w:sz w:val="24"/>
        </w:rPr>
        <w:t> </w:t>
      </w:r>
      <w:r>
        <w:rPr>
          <w:sz w:val="24"/>
        </w:rPr>
        <w:t>entre</w:t>
      </w:r>
      <w:r>
        <w:rPr>
          <w:spacing w:val="-3"/>
          <w:sz w:val="24"/>
        </w:rPr>
        <w:t> </w:t>
      </w:r>
      <w:r>
        <w:rPr>
          <w:sz w:val="24"/>
        </w:rPr>
        <w:t>01</w:t>
      </w:r>
      <w:r>
        <w:rPr>
          <w:spacing w:val="-3"/>
          <w:sz w:val="24"/>
        </w:rPr>
        <w:t> </w:t>
      </w:r>
      <w:r>
        <w:rPr>
          <w:sz w:val="24"/>
        </w:rPr>
        <w:t>de</w:t>
      </w:r>
      <w:r>
        <w:rPr>
          <w:spacing w:val="-3"/>
          <w:sz w:val="24"/>
        </w:rPr>
        <w:t> </w:t>
      </w:r>
      <w:r>
        <w:rPr>
          <w:sz w:val="24"/>
        </w:rPr>
        <w:t>janeiro</w:t>
      </w:r>
      <w:r>
        <w:rPr>
          <w:spacing w:val="-3"/>
          <w:sz w:val="24"/>
        </w:rPr>
        <w:t> </w:t>
      </w:r>
      <w:r>
        <w:rPr>
          <w:sz w:val="24"/>
        </w:rPr>
        <w:t>de</w:t>
      </w:r>
      <w:r>
        <w:rPr>
          <w:spacing w:val="-3"/>
          <w:sz w:val="24"/>
        </w:rPr>
        <w:t> </w:t>
      </w:r>
      <w:r>
        <w:rPr>
          <w:sz w:val="24"/>
        </w:rPr>
        <w:t>2025</w:t>
      </w:r>
      <w:r>
        <w:rPr>
          <w:spacing w:val="-3"/>
          <w:sz w:val="24"/>
        </w:rPr>
        <w:t> </w:t>
      </w:r>
      <w:r>
        <w:rPr>
          <w:sz w:val="24"/>
        </w:rPr>
        <w:t>e</w:t>
      </w:r>
      <w:r>
        <w:rPr>
          <w:spacing w:val="-3"/>
          <w:sz w:val="24"/>
        </w:rPr>
        <w:t> </w:t>
      </w:r>
      <w:r>
        <w:rPr>
          <w:sz w:val="24"/>
        </w:rPr>
        <w:t>31</w:t>
      </w:r>
      <w:r>
        <w:rPr>
          <w:spacing w:val="-3"/>
          <w:sz w:val="24"/>
        </w:rPr>
        <w:t> </w:t>
      </w:r>
      <w:r>
        <w:rPr>
          <w:sz w:val="24"/>
        </w:rPr>
        <w:t>de</w:t>
      </w:r>
      <w:r>
        <w:rPr>
          <w:spacing w:val="-3"/>
          <w:sz w:val="24"/>
        </w:rPr>
        <w:t> </w:t>
      </w:r>
      <w:r>
        <w:rPr>
          <w:sz w:val="24"/>
        </w:rPr>
        <w:t>dezembro de 2025, foram registrados </w:t>
      </w:r>
      <w:r>
        <w:rPr>
          <w:rFonts w:ascii="Arial" w:hAnsi="Arial"/>
          <w:b/>
          <w:sz w:val="24"/>
        </w:rPr>
        <w:t>2.775 processos</w:t>
      </w:r>
      <w:r>
        <w:rPr>
          <w:rFonts w:ascii="Arial" w:hAnsi="Arial"/>
          <w:b/>
          <w:spacing w:val="-7"/>
          <w:sz w:val="24"/>
        </w:rPr>
        <w:t> </w:t>
      </w:r>
      <w:r>
        <w:rPr>
          <w:sz w:val="24"/>
        </w:rPr>
        <w:t>do tipo </w:t>
      </w:r>
      <w:r>
        <w:rPr>
          <w:rFonts w:ascii="Arial" w:hAnsi="Arial"/>
          <w:b/>
          <w:sz w:val="24"/>
        </w:rPr>
        <w:t>Pedido de Informação</w:t>
      </w:r>
      <w:r>
        <w:rPr>
          <w:sz w:val="24"/>
        </w:rPr>
        <w:t>.</w:t>
      </w:r>
    </w:p>
    <w:p>
      <w:pPr>
        <w:pStyle w:val="BodyText"/>
        <w:spacing w:before="244"/>
        <w:ind w:left="144"/>
      </w:pPr>
      <w:r>
        <w:rPr/>
        <w:t>O</w:t>
      </w:r>
      <w:r>
        <w:rPr>
          <w:spacing w:val="-6"/>
        </w:rPr>
        <w:t> </w:t>
      </w:r>
      <w:r>
        <w:rPr/>
        <w:t>quadro</w:t>
      </w:r>
      <w:r>
        <w:rPr>
          <w:spacing w:val="-3"/>
        </w:rPr>
        <w:t> </w:t>
      </w:r>
      <w:r>
        <w:rPr/>
        <w:t>a</w:t>
      </w:r>
      <w:r>
        <w:rPr>
          <w:spacing w:val="-3"/>
        </w:rPr>
        <w:t> </w:t>
      </w:r>
      <w:r>
        <w:rPr/>
        <w:t>seguir</w:t>
      </w:r>
      <w:r>
        <w:rPr>
          <w:spacing w:val="-3"/>
        </w:rPr>
        <w:t> </w:t>
      </w:r>
      <w:r>
        <w:rPr/>
        <w:t>apresenta</w:t>
      </w:r>
      <w:r>
        <w:rPr>
          <w:spacing w:val="-3"/>
        </w:rPr>
        <w:t> </w:t>
      </w:r>
      <w:r>
        <w:rPr/>
        <w:t>a</w:t>
      </w:r>
      <w:r>
        <w:rPr>
          <w:spacing w:val="-3"/>
        </w:rPr>
        <w:t> </w:t>
      </w:r>
      <w:r>
        <w:rPr/>
        <w:t>quantidade</w:t>
      </w:r>
      <w:r>
        <w:rPr>
          <w:spacing w:val="-3"/>
        </w:rPr>
        <w:t> </w:t>
      </w:r>
      <w:r>
        <w:rPr/>
        <w:t>de</w:t>
      </w:r>
      <w:r>
        <w:rPr>
          <w:spacing w:val="-3"/>
        </w:rPr>
        <w:t> </w:t>
      </w:r>
      <w:r>
        <w:rPr/>
        <w:t>processos</w:t>
      </w:r>
      <w:r>
        <w:rPr>
          <w:spacing w:val="-3"/>
        </w:rPr>
        <w:t> </w:t>
      </w:r>
      <w:r>
        <w:rPr/>
        <w:t>registrados</w:t>
      </w:r>
      <w:r>
        <w:rPr>
          <w:spacing w:val="-3"/>
        </w:rPr>
        <w:t> </w:t>
      </w:r>
      <w:r>
        <w:rPr/>
        <w:t>por</w:t>
      </w:r>
      <w:r>
        <w:rPr>
          <w:spacing w:val="-3"/>
        </w:rPr>
        <w:t> </w:t>
      </w:r>
      <w:r>
        <w:rPr>
          <w:spacing w:val="-4"/>
        </w:rPr>
        <w:t>mês.</w:t>
      </w:r>
    </w:p>
    <w:p>
      <w:pPr>
        <w:pStyle w:val="BodyText"/>
        <w:rPr>
          <w:sz w:val="20"/>
        </w:rPr>
      </w:pPr>
    </w:p>
    <w:p>
      <w:pPr>
        <w:pStyle w:val="BodyText"/>
        <w:spacing w:before="92"/>
        <w:rPr>
          <w:sz w:val="20"/>
        </w:rPr>
      </w:pPr>
      <w:r>
        <w:rPr>
          <w:sz w:val="20"/>
        </w:rPr>
        <w:drawing>
          <wp:anchor distT="0" distB="0" distL="0" distR="0" allowOverlap="1" layoutInCell="1" locked="0" behindDoc="1" simplePos="0" relativeHeight="487588352">
            <wp:simplePos x="0" y="0"/>
            <wp:positionH relativeFrom="page">
              <wp:posOffset>1227081</wp:posOffset>
            </wp:positionH>
            <wp:positionV relativeFrom="paragraph">
              <wp:posOffset>219724</wp:posOffset>
            </wp:positionV>
            <wp:extent cx="5121174" cy="316992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5121174" cy="3169920"/>
                    </a:xfrm>
                    <a:prstGeom prst="rect">
                      <a:avLst/>
                    </a:prstGeom>
                  </pic:spPr>
                </pic:pic>
              </a:graphicData>
            </a:graphic>
          </wp:anchor>
        </w:drawing>
      </w:r>
    </w:p>
    <w:p>
      <w:pPr>
        <w:pStyle w:val="BodyText"/>
        <w:rPr>
          <w:sz w:val="20"/>
        </w:rPr>
      </w:pPr>
    </w:p>
    <w:p>
      <w:pPr>
        <w:pStyle w:val="BodyText"/>
        <w:rPr>
          <w:sz w:val="20"/>
        </w:rPr>
      </w:pPr>
    </w:p>
    <w:p>
      <w:pPr>
        <w:pStyle w:val="BodyText"/>
        <w:spacing w:before="122"/>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92"/>
        <w:gridCol w:w="2634"/>
        <w:gridCol w:w="2878"/>
      </w:tblGrid>
      <w:tr>
        <w:trPr>
          <w:trHeight w:val="458" w:hRule="atLeast"/>
        </w:trPr>
        <w:tc>
          <w:tcPr>
            <w:tcW w:w="2992" w:type="dxa"/>
          </w:tcPr>
          <w:p>
            <w:pPr>
              <w:pStyle w:val="TableParagraph"/>
              <w:ind w:left="41"/>
              <w:rPr>
                <w:rFonts w:ascii="Arial" w:hAnsi="Arial"/>
                <w:b/>
                <w:sz w:val="24"/>
              </w:rPr>
            </w:pPr>
            <w:r>
              <w:rPr>
                <w:rFonts w:ascii="Arial" w:hAnsi="Arial"/>
                <w:b/>
                <w:spacing w:val="-5"/>
                <w:sz w:val="24"/>
              </w:rPr>
              <w:t>Mês</w:t>
            </w:r>
          </w:p>
        </w:tc>
        <w:tc>
          <w:tcPr>
            <w:tcW w:w="2634" w:type="dxa"/>
          </w:tcPr>
          <w:p>
            <w:pPr>
              <w:pStyle w:val="TableParagraph"/>
              <w:rPr>
                <w:rFonts w:ascii="Arial"/>
                <w:b/>
                <w:sz w:val="24"/>
              </w:rPr>
            </w:pPr>
            <w:r>
              <w:rPr>
                <w:rFonts w:ascii="Arial"/>
                <w:b/>
                <w:spacing w:val="-2"/>
                <w:sz w:val="24"/>
              </w:rPr>
              <w:t>Quantidade</w:t>
            </w:r>
          </w:p>
        </w:tc>
        <w:tc>
          <w:tcPr>
            <w:tcW w:w="2878" w:type="dxa"/>
          </w:tcPr>
          <w:p>
            <w:pPr>
              <w:pStyle w:val="TableParagraph"/>
              <w:rPr>
                <w:rFonts w:ascii="Arial"/>
                <w:b/>
                <w:sz w:val="24"/>
              </w:rPr>
            </w:pPr>
            <w:r>
              <w:rPr>
                <w:rFonts w:ascii="Arial"/>
                <w:b/>
                <w:spacing w:val="-10"/>
                <w:sz w:val="24"/>
              </w:rPr>
              <w:t>%</w:t>
            </w:r>
          </w:p>
        </w:tc>
      </w:tr>
      <w:tr>
        <w:trPr>
          <w:trHeight w:val="461" w:hRule="atLeast"/>
        </w:trPr>
        <w:tc>
          <w:tcPr>
            <w:tcW w:w="2992" w:type="dxa"/>
            <w:tcBorders>
              <w:bottom w:val="single" w:sz="6" w:space="0" w:color="CCCCCC"/>
              <w:right w:val="single" w:sz="6" w:space="0" w:color="CCCCCC"/>
            </w:tcBorders>
          </w:tcPr>
          <w:p>
            <w:pPr>
              <w:pStyle w:val="TableParagraph"/>
              <w:spacing w:before="39"/>
              <w:ind w:left="41"/>
              <w:rPr>
                <w:sz w:val="24"/>
              </w:rPr>
            </w:pPr>
            <w:r>
              <w:rPr>
                <w:spacing w:val="-2"/>
                <w:sz w:val="24"/>
              </w:rPr>
              <w:t>Janeiro</w:t>
            </w:r>
          </w:p>
        </w:tc>
        <w:tc>
          <w:tcPr>
            <w:tcW w:w="2634" w:type="dxa"/>
            <w:tcBorders>
              <w:left w:val="single" w:sz="6" w:space="0" w:color="CCCCCC"/>
              <w:bottom w:val="single" w:sz="6" w:space="0" w:color="CCCCCC"/>
              <w:right w:val="single" w:sz="6" w:space="0" w:color="CCCCCC"/>
            </w:tcBorders>
          </w:tcPr>
          <w:p>
            <w:pPr>
              <w:pStyle w:val="TableParagraph"/>
              <w:spacing w:before="39"/>
              <w:rPr>
                <w:sz w:val="24"/>
              </w:rPr>
            </w:pPr>
            <w:r>
              <w:rPr>
                <w:spacing w:val="-5"/>
                <w:sz w:val="24"/>
              </w:rPr>
              <w:t>225</w:t>
            </w:r>
          </w:p>
        </w:tc>
        <w:tc>
          <w:tcPr>
            <w:tcW w:w="2878" w:type="dxa"/>
            <w:tcBorders>
              <w:left w:val="single" w:sz="6" w:space="0" w:color="CCCCCC"/>
              <w:bottom w:val="single" w:sz="6" w:space="0" w:color="CCCCCC"/>
            </w:tcBorders>
          </w:tcPr>
          <w:p>
            <w:pPr>
              <w:pStyle w:val="TableParagraph"/>
              <w:spacing w:before="39"/>
              <w:rPr>
                <w:sz w:val="24"/>
              </w:rPr>
            </w:pPr>
            <w:r>
              <w:rPr>
                <w:spacing w:val="-2"/>
                <w:sz w:val="24"/>
              </w:rPr>
              <w:t>8,11%</w:t>
            </w:r>
          </w:p>
        </w:tc>
      </w:tr>
      <w:tr>
        <w:trPr>
          <w:trHeight w:val="458" w:hRule="atLeast"/>
        </w:trPr>
        <w:tc>
          <w:tcPr>
            <w:tcW w:w="2992"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Fevereiro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233</w:t>
            </w:r>
          </w:p>
        </w:tc>
        <w:tc>
          <w:tcPr>
            <w:tcW w:w="2878" w:type="dxa"/>
            <w:tcBorders>
              <w:top w:val="single" w:sz="6" w:space="0" w:color="CCCCCC"/>
              <w:left w:val="single" w:sz="6" w:space="0" w:color="CCCCCC"/>
              <w:bottom w:val="single" w:sz="6" w:space="0" w:color="CCCCCC"/>
            </w:tcBorders>
          </w:tcPr>
          <w:p>
            <w:pPr>
              <w:pStyle w:val="TableParagraph"/>
              <w:rPr>
                <w:sz w:val="24"/>
              </w:rPr>
            </w:pPr>
            <w:r>
              <w:rPr>
                <w:spacing w:val="-2"/>
                <w:sz w:val="24"/>
              </w:rPr>
              <w:t>8,40%</w:t>
            </w:r>
          </w:p>
        </w:tc>
      </w:tr>
      <w:tr>
        <w:trPr>
          <w:trHeight w:val="461" w:hRule="atLeast"/>
        </w:trPr>
        <w:tc>
          <w:tcPr>
            <w:tcW w:w="2992" w:type="dxa"/>
            <w:tcBorders>
              <w:top w:val="single" w:sz="6" w:space="0" w:color="CCCCCC"/>
              <w:bottom w:val="single" w:sz="6" w:space="0" w:color="CCCCCC"/>
              <w:right w:val="single" w:sz="6" w:space="0" w:color="CCCCCC"/>
            </w:tcBorders>
          </w:tcPr>
          <w:p>
            <w:pPr>
              <w:pStyle w:val="TableParagraph"/>
              <w:spacing w:before="39"/>
              <w:ind w:left="41"/>
              <w:rPr>
                <w:sz w:val="24"/>
              </w:rPr>
            </w:pPr>
            <w:r>
              <w:rPr>
                <w:spacing w:val="-2"/>
                <w:sz w:val="24"/>
              </w:rPr>
              <w:t>Março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228</w:t>
            </w:r>
          </w:p>
        </w:tc>
        <w:tc>
          <w:tcPr>
            <w:tcW w:w="2878"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8,22%</w:t>
            </w:r>
          </w:p>
        </w:tc>
      </w:tr>
      <w:tr>
        <w:trPr>
          <w:trHeight w:val="458" w:hRule="atLeast"/>
        </w:trPr>
        <w:tc>
          <w:tcPr>
            <w:tcW w:w="2992"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Abril</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205</w:t>
            </w:r>
          </w:p>
        </w:tc>
        <w:tc>
          <w:tcPr>
            <w:tcW w:w="2878" w:type="dxa"/>
            <w:tcBorders>
              <w:top w:val="single" w:sz="6" w:space="0" w:color="CCCCCC"/>
              <w:left w:val="single" w:sz="6" w:space="0" w:color="CCCCCC"/>
              <w:bottom w:val="single" w:sz="6" w:space="0" w:color="CCCCCC"/>
            </w:tcBorders>
          </w:tcPr>
          <w:p>
            <w:pPr>
              <w:pStyle w:val="TableParagraph"/>
              <w:rPr>
                <w:sz w:val="24"/>
              </w:rPr>
            </w:pPr>
            <w:r>
              <w:rPr>
                <w:spacing w:val="-2"/>
                <w:sz w:val="24"/>
              </w:rPr>
              <w:t>7,39%</w:t>
            </w:r>
          </w:p>
        </w:tc>
      </w:tr>
      <w:tr>
        <w:trPr>
          <w:trHeight w:val="461" w:hRule="atLeast"/>
        </w:trPr>
        <w:tc>
          <w:tcPr>
            <w:tcW w:w="2992" w:type="dxa"/>
            <w:tcBorders>
              <w:top w:val="single" w:sz="6" w:space="0" w:color="CCCCCC"/>
              <w:bottom w:val="single" w:sz="6" w:space="0" w:color="CCCCCC"/>
              <w:right w:val="single" w:sz="6" w:space="0" w:color="CCCCCC"/>
            </w:tcBorders>
          </w:tcPr>
          <w:p>
            <w:pPr>
              <w:pStyle w:val="TableParagraph"/>
              <w:spacing w:before="39"/>
              <w:ind w:left="41"/>
              <w:rPr>
                <w:sz w:val="24"/>
              </w:rPr>
            </w:pPr>
            <w:r>
              <w:rPr>
                <w:spacing w:val="-4"/>
                <w:sz w:val="24"/>
              </w:rPr>
              <w:t>Maio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197</w:t>
            </w:r>
          </w:p>
        </w:tc>
        <w:tc>
          <w:tcPr>
            <w:tcW w:w="2878"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7,10%</w:t>
            </w:r>
          </w:p>
        </w:tc>
      </w:tr>
      <w:tr>
        <w:trPr>
          <w:trHeight w:val="458" w:hRule="atLeast"/>
        </w:trPr>
        <w:tc>
          <w:tcPr>
            <w:tcW w:w="2992"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Junho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227</w:t>
            </w:r>
          </w:p>
        </w:tc>
        <w:tc>
          <w:tcPr>
            <w:tcW w:w="2878" w:type="dxa"/>
            <w:tcBorders>
              <w:top w:val="single" w:sz="6" w:space="0" w:color="CCCCCC"/>
              <w:left w:val="single" w:sz="6" w:space="0" w:color="CCCCCC"/>
              <w:bottom w:val="single" w:sz="6" w:space="0" w:color="CCCCCC"/>
            </w:tcBorders>
          </w:tcPr>
          <w:p>
            <w:pPr>
              <w:pStyle w:val="TableParagraph"/>
              <w:rPr>
                <w:sz w:val="24"/>
              </w:rPr>
            </w:pPr>
            <w:r>
              <w:rPr>
                <w:spacing w:val="-2"/>
                <w:sz w:val="24"/>
              </w:rPr>
              <w:t>8,18%</w:t>
            </w:r>
          </w:p>
        </w:tc>
      </w:tr>
      <w:tr>
        <w:trPr>
          <w:trHeight w:val="461" w:hRule="atLeast"/>
        </w:trPr>
        <w:tc>
          <w:tcPr>
            <w:tcW w:w="2992" w:type="dxa"/>
            <w:tcBorders>
              <w:top w:val="single" w:sz="6" w:space="0" w:color="CCCCCC"/>
              <w:bottom w:val="single" w:sz="6" w:space="0" w:color="CCCCCC"/>
              <w:right w:val="single" w:sz="6" w:space="0" w:color="CCCCCC"/>
            </w:tcBorders>
          </w:tcPr>
          <w:p>
            <w:pPr>
              <w:pStyle w:val="TableParagraph"/>
              <w:spacing w:before="39"/>
              <w:ind w:left="41"/>
              <w:rPr>
                <w:sz w:val="24"/>
              </w:rPr>
            </w:pPr>
            <w:r>
              <w:rPr>
                <w:spacing w:val="-2"/>
                <w:sz w:val="24"/>
              </w:rPr>
              <w:t>Julho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235</w:t>
            </w:r>
          </w:p>
        </w:tc>
        <w:tc>
          <w:tcPr>
            <w:tcW w:w="2878"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8,47%</w:t>
            </w:r>
          </w:p>
        </w:tc>
      </w:tr>
      <w:tr>
        <w:trPr>
          <w:trHeight w:val="458" w:hRule="atLeast"/>
        </w:trPr>
        <w:tc>
          <w:tcPr>
            <w:tcW w:w="2992"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Agosto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250</w:t>
            </w:r>
          </w:p>
        </w:tc>
        <w:tc>
          <w:tcPr>
            <w:tcW w:w="2878" w:type="dxa"/>
            <w:tcBorders>
              <w:top w:val="single" w:sz="6" w:space="0" w:color="CCCCCC"/>
              <w:left w:val="single" w:sz="6" w:space="0" w:color="CCCCCC"/>
              <w:bottom w:val="single" w:sz="6" w:space="0" w:color="CCCCCC"/>
            </w:tcBorders>
          </w:tcPr>
          <w:p>
            <w:pPr>
              <w:pStyle w:val="TableParagraph"/>
              <w:rPr>
                <w:sz w:val="24"/>
              </w:rPr>
            </w:pPr>
            <w:r>
              <w:rPr>
                <w:spacing w:val="-2"/>
                <w:sz w:val="24"/>
              </w:rPr>
              <w:t>9,01%</w:t>
            </w:r>
          </w:p>
        </w:tc>
      </w:tr>
      <w:tr>
        <w:trPr>
          <w:trHeight w:val="461" w:hRule="atLeast"/>
        </w:trPr>
        <w:tc>
          <w:tcPr>
            <w:tcW w:w="2992" w:type="dxa"/>
            <w:tcBorders>
              <w:top w:val="single" w:sz="6" w:space="0" w:color="CCCCCC"/>
              <w:bottom w:val="single" w:sz="6" w:space="0" w:color="CCCCCC"/>
              <w:right w:val="single" w:sz="6" w:space="0" w:color="CCCCCC"/>
            </w:tcBorders>
          </w:tcPr>
          <w:p>
            <w:pPr>
              <w:pStyle w:val="TableParagraph"/>
              <w:spacing w:before="39"/>
              <w:ind w:left="41"/>
              <w:rPr>
                <w:sz w:val="24"/>
              </w:rPr>
            </w:pPr>
            <w:r>
              <w:rPr>
                <w:spacing w:val="-2"/>
                <w:sz w:val="24"/>
              </w:rPr>
              <w:t>Setembro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287</w:t>
            </w:r>
          </w:p>
        </w:tc>
        <w:tc>
          <w:tcPr>
            <w:tcW w:w="2878"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10,34%</w:t>
            </w:r>
          </w:p>
        </w:tc>
      </w:tr>
      <w:tr>
        <w:trPr>
          <w:trHeight w:val="459" w:hRule="atLeast"/>
        </w:trPr>
        <w:tc>
          <w:tcPr>
            <w:tcW w:w="2992"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Outubro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278</w:t>
            </w:r>
          </w:p>
        </w:tc>
        <w:tc>
          <w:tcPr>
            <w:tcW w:w="2878" w:type="dxa"/>
            <w:tcBorders>
              <w:top w:val="single" w:sz="6" w:space="0" w:color="CCCCCC"/>
              <w:left w:val="single" w:sz="6" w:space="0" w:color="CCCCCC"/>
              <w:bottom w:val="single" w:sz="6" w:space="0" w:color="CCCCCC"/>
            </w:tcBorders>
          </w:tcPr>
          <w:p>
            <w:pPr>
              <w:pStyle w:val="TableParagraph"/>
              <w:rPr>
                <w:sz w:val="24"/>
              </w:rPr>
            </w:pPr>
            <w:r>
              <w:rPr>
                <w:spacing w:val="-2"/>
                <w:sz w:val="24"/>
              </w:rPr>
              <w:t>10,02%</w:t>
            </w:r>
          </w:p>
        </w:tc>
      </w:tr>
      <w:tr>
        <w:trPr>
          <w:trHeight w:val="460" w:hRule="atLeast"/>
        </w:trPr>
        <w:tc>
          <w:tcPr>
            <w:tcW w:w="2992" w:type="dxa"/>
            <w:tcBorders>
              <w:top w:val="single" w:sz="6" w:space="0" w:color="CCCCCC"/>
              <w:bottom w:val="single" w:sz="6" w:space="0" w:color="CCCCCC"/>
              <w:right w:val="single" w:sz="6" w:space="0" w:color="CCCCCC"/>
            </w:tcBorders>
          </w:tcPr>
          <w:p>
            <w:pPr>
              <w:pStyle w:val="TableParagraph"/>
              <w:spacing w:before="39"/>
              <w:ind w:left="41"/>
              <w:rPr>
                <w:sz w:val="24"/>
              </w:rPr>
            </w:pPr>
            <w:r>
              <w:rPr>
                <w:spacing w:val="-2"/>
                <w:sz w:val="24"/>
              </w:rPr>
              <w:t>Novembro</w:t>
            </w:r>
          </w:p>
        </w:tc>
        <w:tc>
          <w:tcPr>
            <w:tcW w:w="2634"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222</w:t>
            </w:r>
          </w:p>
        </w:tc>
        <w:tc>
          <w:tcPr>
            <w:tcW w:w="2878"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8,00%</w:t>
            </w:r>
          </w:p>
        </w:tc>
      </w:tr>
    </w:tbl>
    <w:p>
      <w:pPr>
        <w:pStyle w:val="TableParagraph"/>
        <w:spacing w:after="0"/>
        <w:rPr>
          <w:sz w:val="24"/>
        </w:rPr>
        <w:sectPr>
          <w:pgSz w:w="11910" w:h="16840"/>
          <w:pgMar w:header="0" w:footer="972" w:top="1320" w:bottom="1160" w:left="1559" w:right="1417"/>
        </w:sectPr>
      </w:pPr>
    </w:p>
    <w:tbl>
      <w:tblPr>
        <w:tblW w:w="0" w:type="auto"/>
        <w:jc w:val="left"/>
        <w:tblInd w:w="15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2992"/>
        <w:gridCol w:w="2634"/>
        <w:gridCol w:w="2878"/>
      </w:tblGrid>
      <w:tr>
        <w:trPr>
          <w:trHeight w:val="459" w:hRule="atLeast"/>
        </w:trPr>
        <w:tc>
          <w:tcPr>
            <w:tcW w:w="2992" w:type="dxa"/>
            <w:tcBorders>
              <w:left w:val="single" w:sz="6" w:space="0" w:color="000000"/>
              <w:bottom w:val="single" w:sz="6" w:space="0" w:color="000000"/>
            </w:tcBorders>
          </w:tcPr>
          <w:p>
            <w:pPr>
              <w:pStyle w:val="TableParagraph"/>
              <w:ind w:left="41"/>
              <w:rPr>
                <w:sz w:val="24"/>
              </w:rPr>
            </w:pPr>
            <w:r>
              <w:rPr>
                <w:spacing w:val="-2"/>
                <w:sz w:val="24"/>
              </w:rPr>
              <w:t>Dezembro</w:t>
            </w:r>
          </w:p>
        </w:tc>
        <w:tc>
          <w:tcPr>
            <w:tcW w:w="2634" w:type="dxa"/>
            <w:tcBorders>
              <w:bottom w:val="single" w:sz="6" w:space="0" w:color="000000"/>
            </w:tcBorders>
          </w:tcPr>
          <w:p>
            <w:pPr>
              <w:pStyle w:val="TableParagraph"/>
              <w:rPr>
                <w:sz w:val="24"/>
              </w:rPr>
            </w:pPr>
            <w:r>
              <w:rPr>
                <w:spacing w:val="-5"/>
                <w:sz w:val="24"/>
              </w:rPr>
              <w:t>188</w:t>
            </w:r>
          </w:p>
        </w:tc>
        <w:tc>
          <w:tcPr>
            <w:tcW w:w="2878" w:type="dxa"/>
            <w:tcBorders>
              <w:bottom w:val="single" w:sz="6" w:space="0" w:color="000000"/>
              <w:right w:val="single" w:sz="6" w:space="0" w:color="000000"/>
            </w:tcBorders>
          </w:tcPr>
          <w:p>
            <w:pPr>
              <w:pStyle w:val="TableParagraph"/>
              <w:rPr>
                <w:sz w:val="24"/>
              </w:rPr>
            </w:pPr>
            <w:r>
              <w:rPr>
                <w:spacing w:val="-2"/>
                <w:sz w:val="24"/>
              </w:rPr>
              <w:t>6,77%</w:t>
            </w:r>
          </w:p>
        </w:tc>
      </w:tr>
      <w:tr>
        <w:trPr>
          <w:trHeight w:val="460" w:hRule="atLeast"/>
        </w:trPr>
        <w:tc>
          <w:tcPr>
            <w:tcW w:w="2992" w:type="dxa"/>
            <w:tcBorders>
              <w:top w:val="single" w:sz="6" w:space="0" w:color="000000"/>
              <w:left w:val="single" w:sz="6" w:space="0" w:color="000000"/>
              <w:bottom w:val="single" w:sz="6" w:space="0" w:color="000000"/>
            </w:tcBorders>
          </w:tcPr>
          <w:p>
            <w:pPr>
              <w:pStyle w:val="TableParagraph"/>
              <w:spacing w:before="39"/>
              <w:ind w:left="41"/>
              <w:rPr>
                <w:rFonts w:ascii="Arial"/>
                <w:b/>
                <w:sz w:val="24"/>
              </w:rPr>
            </w:pPr>
            <w:r>
              <w:rPr>
                <w:rFonts w:ascii="Arial"/>
                <w:b/>
                <w:spacing w:val="-2"/>
                <w:sz w:val="24"/>
              </w:rPr>
              <w:t>Total</w:t>
            </w:r>
          </w:p>
        </w:tc>
        <w:tc>
          <w:tcPr>
            <w:tcW w:w="2634" w:type="dxa"/>
            <w:tcBorders>
              <w:top w:val="single" w:sz="6" w:space="0" w:color="000000"/>
              <w:bottom w:val="single" w:sz="6" w:space="0" w:color="000000"/>
            </w:tcBorders>
          </w:tcPr>
          <w:p>
            <w:pPr>
              <w:pStyle w:val="TableParagraph"/>
              <w:spacing w:before="39"/>
              <w:rPr>
                <w:rFonts w:ascii="Arial"/>
                <w:b/>
                <w:sz w:val="24"/>
              </w:rPr>
            </w:pPr>
            <w:r>
              <w:rPr>
                <w:rFonts w:ascii="Arial"/>
                <w:b/>
                <w:spacing w:val="-2"/>
                <w:sz w:val="24"/>
              </w:rPr>
              <w:t>2.775</w:t>
            </w:r>
          </w:p>
        </w:tc>
        <w:tc>
          <w:tcPr>
            <w:tcW w:w="2878" w:type="dxa"/>
            <w:tcBorders>
              <w:top w:val="single" w:sz="6" w:space="0" w:color="000000"/>
              <w:bottom w:val="single" w:sz="6" w:space="0" w:color="000000"/>
              <w:right w:val="single" w:sz="6" w:space="0" w:color="000000"/>
            </w:tcBorders>
          </w:tcPr>
          <w:p>
            <w:pPr>
              <w:pStyle w:val="TableParagraph"/>
              <w:spacing w:before="39"/>
              <w:rPr>
                <w:sz w:val="24"/>
              </w:rPr>
            </w:pPr>
            <w:r>
              <w:rPr>
                <w:spacing w:val="-4"/>
                <w:sz w:val="24"/>
              </w:rPr>
              <w:t>100%</w:t>
            </w:r>
          </w:p>
        </w:tc>
      </w:tr>
    </w:tbl>
    <w:p>
      <w:pPr>
        <w:pStyle w:val="BodyText"/>
      </w:pPr>
    </w:p>
    <w:p>
      <w:pPr>
        <w:pStyle w:val="BodyText"/>
      </w:pPr>
    </w:p>
    <w:p>
      <w:pPr>
        <w:pStyle w:val="BodyText"/>
        <w:spacing w:before="52"/>
      </w:pPr>
    </w:p>
    <w:p>
      <w:pPr>
        <w:pStyle w:val="BodyText"/>
        <w:spacing w:line="331" w:lineRule="auto"/>
        <w:ind w:left="144" w:right="285" w:firstLine="708"/>
        <w:jc w:val="both"/>
      </w:pPr>
      <w:r>
        <w:rPr/>
        <w:t>A relação dos assuntos mais demandados nos pedidos de informação ajuda a compreender quais temas despertam maior interesse da população ao buscar informações junto à Prefeitura. A tabela a seguir apresenta os assuntos mais mencionados, conforme o registro realizado no momento da abertura do </w:t>
      </w:r>
      <w:r>
        <w:rPr>
          <w:spacing w:val="-2"/>
        </w:rPr>
        <w:t>pedido.</w:t>
      </w:r>
    </w:p>
    <w:p>
      <w:pPr>
        <w:pStyle w:val="BodyText"/>
        <w:spacing w:before="6"/>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16"/>
        <w:gridCol w:w="1636"/>
        <w:gridCol w:w="1352"/>
      </w:tblGrid>
      <w:tr>
        <w:trPr>
          <w:trHeight w:val="460" w:hRule="atLeast"/>
        </w:trPr>
        <w:tc>
          <w:tcPr>
            <w:tcW w:w="5516" w:type="dxa"/>
            <w:tcBorders>
              <w:right w:val="single" w:sz="6" w:space="0" w:color="CCCCCC"/>
            </w:tcBorders>
          </w:tcPr>
          <w:p>
            <w:pPr>
              <w:pStyle w:val="TableParagraph"/>
              <w:spacing w:before="39"/>
              <w:ind w:left="41"/>
              <w:rPr>
                <w:rFonts w:ascii="Arial"/>
                <w:b/>
                <w:sz w:val="24"/>
              </w:rPr>
            </w:pPr>
            <w:r>
              <w:rPr>
                <w:rFonts w:ascii="Arial"/>
                <w:b/>
                <w:spacing w:val="-2"/>
                <w:sz w:val="24"/>
              </w:rPr>
              <w:t>Assunto</w:t>
            </w:r>
          </w:p>
        </w:tc>
        <w:tc>
          <w:tcPr>
            <w:tcW w:w="1636" w:type="dxa"/>
            <w:tcBorders>
              <w:left w:val="single" w:sz="6" w:space="0" w:color="CCCCCC"/>
              <w:right w:val="single" w:sz="6" w:space="0" w:color="CCCCCC"/>
            </w:tcBorders>
          </w:tcPr>
          <w:p>
            <w:pPr>
              <w:pStyle w:val="TableParagraph"/>
              <w:spacing w:before="39"/>
              <w:rPr>
                <w:rFonts w:ascii="Arial"/>
                <w:b/>
                <w:sz w:val="24"/>
              </w:rPr>
            </w:pPr>
            <w:r>
              <w:rPr>
                <w:rFonts w:ascii="Arial"/>
                <w:b/>
                <w:spacing w:val="-2"/>
                <w:sz w:val="24"/>
              </w:rPr>
              <w:t>Quantidade</w:t>
            </w:r>
          </w:p>
        </w:tc>
        <w:tc>
          <w:tcPr>
            <w:tcW w:w="1352" w:type="dxa"/>
            <w:tcBorders>
              <w:left w:val="single" w:sz="6" w:space="0" w:color="CCCCCC"/>
            </w:tcBorders>
          </w:tcPr>
          <w:p>
            <w:pPr>
              <w:pStyle w:val="TableParagraph"/>
              <w:spacing w:before="39"/>
              <w:rPr>
                <w:rFonts w:ascii="Arial"/>
                <w:b/>
                <w:sz w:val="24"/>
              </w:rPr>
            </w:pPr>
            <w:r>
              <w:rPr>
                <w:rFonts w:ascii="Arial"/>
                <w:b/>
                <w:spacing w:val="-10"/>
                <w:sz w:val="24"/>
              </w:rPr>
              <w:t>%</w:t>
            </w:r>
          </w:p>
        </w:tc>
      </w:tr>
      <w:tr>
        <w:trPr>
          <w:trHeight w:val="459" w:hRule="atLeast"/>
        </w:trPr>
        <w:tc>
          <w:tcPr>
            <w:tcW w:w="5516" w:type="dxa"/>
            <w:tcBorders>
              <w:bottom w:val="single" w:sz="6" w:space="0" w:color="CCCCCC"/>
              <w:right w:val="single" w:sz="6" w:space="0" w:color="CCCCCC"/>
            </w:tcBorders>
          </w:tcPr>
          <w:p>
            <w:pPr>
              <w:pStyle w:val="TableParagraph"/>
              <w:ind w:left="41"/>
              <w:rPr>
                <w:sz w:val="24"/>
              </w:rPr>
            </w:pPr>
            <w:r>
              <w:rPr>
                <w:sz w:val="24"/>
              </w:rPr>
              <w:t>Informação</w:t>
            </w:r>
            <w:r>
              <w:rPr>
                <w:spacing w:val="-10"/>
                <w:sz w:val="24"/>
              </w:rPr>
              <w:t> </w:t>
            </w:r>
            <w:r>
              <w:rPr>
                <w:sz w:val="24"/>
              </w:rPr>
              <w:t>específica</w:t>
            </w:r>
            <w:r>
              <w:rPr>
                <w:spacing w:val="-10"/>
                <w:sz w:val="24"/>
              </w:rPr>
              <w:t> </w:t>
            </w:r>
            <w:r>
              <w:rPr>
                <w:spacing w:val="-2"/>
                <w:sz w:val="24"/>
              </w:rPr>
              <w:t>(SAMA)</w:t>
            </w:r>
          </w:p>
        </w:tc>
        <w:tc>
          <w:tcPr>
            <w:tcW w:w="1636" w:type="dxa"/>
            <w:tcBorders>
              <w:left w:val="single" w:sz="6" w:space="0" w:color="CCCCCC"/>
              <w:bottom w:val="single" w:sz="6" w:space="0" w:color="CCCCCC"/>
              <w:right w:val="single" w:sz="6" w:space="0" w:color="CCCCCC"/>
            </w:tcBorders>
          </w:tcPr>
          <w:p>
            <w:pPr>
              <w:pStyle w:val="TableParagraph"/>
              <w:rPr>
                <w:sz w:val="24"/>
              </w:rPr>
            </w:pPr>
            <w:r>
              <w:rPr>
                <w:spacing w:val="-5"/>
                <w:sz w:val="24"/>
              </w:rPr>
              <w:t>468</w:t>
            </w:r>
          </w:p>
        </w:tc>
        <w:tc>
          <w:tcPr>
            <w:tcW w:w="1352" w:type="dxa"/>
            <w:tcBorders>
              <w:left w:val="single" w:sz="6" w:space="0" w:color="CCCCCC"/>
              <w:bottom w:val="single" w:sz="6" w:space="0" w:color="CCCCCC"/>
            </w:tcBorders>
          </w:tcPr>
          <w:p>
            <w:pPr>
              <w:pStyle w:val="TableParagraph"/>
              <w:rPr>
                <w:sz w:val="24"/>
              </w:rPr>
            </w:pPr>
            <w:r>
              <w:rPr>
                <w:spacing w:val="-2"/>
                <w:sz w:val="24"/>
              </w:rPr>
              <w:t>16,86%</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Vistas</w:t>
            </w:r>
            <w:r>
              <w:rPr>
                <w:spacing w:val="-7"/>
                <w:sz w:val="24"/>
              </w:rPr>
              <w:t> </w:t>
            </w:r>
            <w:r>
              <w:rPr>
                <w:sz w:val="24"/>
              </w:rPr>
              <w:t>de</w:t>
            </w:r>
            <w:r>
              <w:rPr>
                <w:spacing w:val="-6"/>
                <w:sz w:val="24"/>
              </w:rPr>
              <w:t> </w:t>
            </w:r>
            <w:r>
              <w:rPr>
                <w:sz w:val="24"/>
              </w:rPr>
              <w:t>processo</w:t>
            </w:r>
            <w:r>
              <w:rPr>
                <w:spacing w:val="-6"/>
                <w:sz w:val="24"/>
              </w:rPr>
              <w:t> </w:t>
            </w:r>
            <w:r>
              <w:rPr>
                <w:sz w:val="24"/>
              </w:rPr>
              <w:t>administrativo</w:t>
            </w:r>
            <w:r>
              <w:rPr>
                <w:spacing w:val="-6"/>
                <w:sz w:val="24"/>
              </w:rPr>
              <w:t> </w:t>
            </w:r>
            <w:r>
              <w:rPr>
                <w:spacing w:val="-2"/>
                <w:sz w:val="24"/>
              </w:rPr>
              <w:t>(SAMA)</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388</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13,98%</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z w:val="24"/>
              </w:rPr>
              <w:t>Cópia</w:t>
            </w:r>
            <w:r>
              <w:rPr>
                <w:spacing w:val="-6"/>
                <w:sz w:val="24"/>
              </w:rPr>
              <w:t> </w:t>
            </w:r>
            <w:r>
              <w:rPr>
                <w:sz w:val="24"/>
              </w:rPr>
              <w:t>de</w:t>
            </w:r>
            <w:r>
              <w:rPr>
                <w:spacing w:val="-5"/>
                <w:sz w:val="24"/>
              </w:rPr>
              <w:t> </w:t>
            </w:r>
            <w:r>
              <w:rPr>
                <w:sz w:val="24"/>
              </w:rPr>
              <w:t>documento</w:t>
            </w:r>
            <w:r>
              <w:rPr>
                <w:spacing w:val="-5"/>
                <w:sz w:val="24"/>
              </w:rPr>
              <w:t> </w:t>
            </w:r>
            <w:r>
              <w:rPr>
                <w:spacing w:val="-2"/>
                <w:sz w:val="24"/>
              </w:rPr>
              <w:t>(SAMA)</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368</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13,26%</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Informação</w:t>
            </w:r>
            <w:r>
              <w:rPr>
                <w:spacing w:val="-10"/>
                <w:sz w:val="24"/>
              </w:rPr>
              <w:t> </w:t>
            </w:r>
            <w:r>
              <w:rPr>
                <w:sz w:val="24"/>
              </w:rPr>
              <w:t>específica</w:t>
            </w:r>
            <w:r>
              <w:rPr>
                <w:spacing w:val="-10"/>
                <w:sz w:val="24"/>
              </w:rPr>
              <w:t> </w:t>
            </w:r>
            <w:r>
              <w:rPr>
                <w:spacing w:val="-2"/>
                <w:sz w:val="24"/>
              </w:rPr>
              <w:t>(SEFAZ)</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245</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8,83%</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z w:val="24"/>
              </w:rPr>
              <w:t>Formulário</w:t>
            </w:r>
            <w:r>
              <w:rPr>
                <w:spacing w:val="-10"/>
                <w:sz w:val="24"/>
              </w:rPr>
              <w:t> </w:t>
            </w:r>
            <w:r>
              <w:rPr>
                <w:spacing w:val="-2"/>
                <w:sz w:val="24"/>
              </w:rPr>
              <w:t>errado</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233</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8,40%</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Inclusão</w:t>
            </w:r>
            <w:r>
              <w:rPr>
                <w:spacing w:val="-6"/>
                <w:sz w:val="24"/>
              </w:rPr>
              <w:t> </w:t>
            </w:r>
            <w:r>
              <w:rPr>
                <w:sz w:val="24"/>
              </w:rPr>
              <w:t>de</w:t>
            </w:r>
            <w:r>
              <w:rPr>
                <w:spacing w:val="-4"/>
                <w:sz w:val="24"/>
              </w:rPr>
              <w:t> </w:t>
            </w:r>
            <w:r>
              <w:rPr>
                <w:sz w:val="24"/>
              </w:rPr>
              <w:t>procurador</w:t>
            </w:r>
            <w:r>
              <w:rPr>
                <w:spacing w:val="-4"/>
                <w:sz w:val="24"/>
              </w:rPr>
              <w:t> </w:t>
            </w:r>
            <w:r>
              <w:rPr>
                <w:sz w:val="24"/>
              </w:rPr>
              <w:t>em</w:t>
            </w:r>
            <w:r>
              <w:rPr>
                <w:spacing w:val="-4"/>
                <w:sz w:val="24"/>
              </w:rPr>
              <w:t> </w:t>
            </w:r>
            <w:r>
              <w:rPr>
                <w:sz w:val="24"/>
              </w:rPr>
              <w:t>processo</w:t>
            </w:r>
            <w:r>
              <w:rPr>
                <w:spacing w:val="-4"/>
                <w:sz w:val="24"/>
              </w:rPr>
              <w:t> </w:t>
            </w:r>
            <w:r>
              <w:rPr>
                <w:spacing w:val="-2"/>
                <w:sz w:val="24"/>
              </w:rPr>
              <w:t>(SAMA)</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138</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4,97%</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Duplicidade</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105</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3,78%</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pacing w:val="-2"/>
                <w:sz w:val="24"/>
              </w:rPr>
              <w:t>Incompleta</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87</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3,14%</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z w:val="24"/>
              </w:rPr>
              <w:t>Informação</w:t>
            </w:r>
            <w:r>
              <w:rPr>
                <w:spacing w:val="-10"/>
                <w:sz w:val="24"/>
              </w:rPr>
              <w:t> </w:t>
            </w:r>
            <w:r>
              <w:rPr>
                <w:sz w:val="24"/>
              </w:rPr>
              <w:t>específica</w:t>
            </w:r>
            <w:r>
              <w:rPr>
                <w:spacing w:val="-10"/>
                <w:sz w:val="24"/>
              </w:rPr>
              <w:t> </w:t>
            </w:r>
            <w:r>
              <w:rPr>
                <w:spacing w:val="-2"/>
                <w:sz w:val="24"/>
              </w:rPr>
              <w:t>(SDE)</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70</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2,52%</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Informação</w:t>
            </w:r>
            <w:r>
              <w:rPr>
                <w:spacing w:val="-10"/>
                <w:sz w:val="24"/>
              </w:rPr>
              <w:t> </w:t>
            </w:r>
            <w:r>
              <w:rPr>
                <w:sz w:val="24"/>
              </w:rPr>
              <w:t>específica</w:t>
            </w:r>
            <w:r>
              <w:rPr>
                <w:spacing w:val="-10"/>
                <w:sz w:val="24"/>
              </w:rPr>
              <w:t> </w:t>
            </w:r>
            <w:r>
              <w:rPr>
                <w:spacing w:val="-2"/>
                <w:sz w:val="24"/>
              </w:rPr>
              <w:t>(SES)</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67</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2,41%</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z w:val="24"/>
              </w:rPr>
              <w:t>Informação</w:t>
            </w:r>
            <w:r>
              <w:rPr>
                <w:spacing w:val="-10"/>
                <w:sz w:val="24"/>
              </w:rPr>
              <w:t> </w:t>
            </w:r>
            <w:r>
              <w:rPr>
                <w:sz w:val="24"/>
              </w:rPr>
              <w:t>específica</w:t>
            </w:r>
            <w:r>
              <w:rPr>
                <w:spacing w:val="-10"/>
                <w:sz w:val="24"/>
              </w:rPr>
              <w:t> </w:t>
            </w:r>
            <w:r>
              <w:rPr>
                <w:spacing w:val="-2"/>
                <w:sz w:val="24"/>
              </w:rPr>
              <w:t>(SEINFRA)</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59</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2,13%</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Cópia</w:t>
            </w:r>
            <w:r>
              <w:rPr>
                <w:spacing w:val="-6"/>
                <w:sz w:val="24"/>
              </w:rPr>
              <w:t> </w:t>
            </w:r>
            <w:r>
              <w:rPr>
                <w:sz w:val="24"/>
              </w:rPr>
              <w:t>de</w:t>
            </w:r>
            <w:r>
              <w:rPr>
                <w:spacing w:val="-5"/>
                <w:sz w:val="24"/>
              </w:rPr>
              <w:t> </w:t>
            </w:r>
            <w:r>
              <w:rPr>
                <w:sz w:val="24"/>
              </w:rPr>
              <w:t>documento</w:t>
            </w:r>
            <w:r>
              <w:rPr>
                <w:spacing w:val="-5"/>
                <w:sz w:val="24"/>
              </w:rPr>
              <w:t> </w:t>
            </w:r>
            <w:r>
              <w:rPr>
                <w:spacing w:val="-2"/>
                <w:sz w:val="24"/>
              </w:rPr>
              <w:t>(SEFAZ)</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56</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2,02%</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z w:val="24"/>
              </w:rPr>
              <w:t>Informação</w:t>
            </w:r>
            <w:r>
              <w:rPr>
                <w:spacing w:val="-10"/>
                <w:sz w:val="24"/>
              </w:rPr>
              <w:t> </w:t>
            </w:r>
            <w:r>
              <w:rPr>
                <w:sz w:val="24"/>
              </w:rPr>
              <w:t>específica</w:t>
            </w:r>
            <w:r>
              <w:rPr>
                <w:spacing w:val="-10"/>
                <w:sz w:val="24"/>
              </w:rPr>
              <w:t> </w:t>
            </w:r>
            <w:r>
              <w:rPr>
                <w:spacing w:val="-2"/>
                <w:sz w:val="24"/>
              </w:rPr>
              <w:t>(SGP)</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46</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1,66%</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Informação</w:t>
            </w:r>
            <w:r>
              <w:rPr>
                <w:spacing w:val="-10"/>
                <w:sz w:val="24"/>
              </w:rPr>
              <w:t> </w:t>
            </w:r>
            <w:r>
              <w:rPr>
                <w:sz w:val="24"/>
              </w:rPr>
              <w:t>específica</w:t>
            </w:r>
            <w:r>
              <w:rPr>
                <w:spacing w:val="-10"/>
                <w:sz w:val="24"/>
              </w:rPr>
              <w:t> </w:t>
            </w:r>
            <w:r>
              <w:rPr>
                <w:spacing w:val="-2"/>
                <w:sz w:val="24"/>
              </w:rPr>
              <w:t>(SED)</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40</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1,44%</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z w:val="24"/>
              </w:rPr>
              <w:t>Informação</w:t>
            </w:r>
            <w:r>
              <w:rPr>
                <w:spacing w:val="-10"/>
                <w:sz w:val="24"/>
              </w:rPr>
              <w:t> </w:t>
            </w:r>
            <w:r>
              <w:rPr>
                <w:sz w:val="24"/>
              </w:rPr>
              <w:t>específica</w:t>
            </w:r>
            <w:r>
              <w:rPr>
                <w:spacing w:val="-10"/>
                <w:sz w:val="24"/>
              </w:rPr>
              <w:t> </w:t>
            </w:r>
            <w:r>
              <w:rPr>
                <w:spacing w:val="-2"/>
                <w:sz w:val="24"/>
              </w:rPr>
              <w:t>(SAP)</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26</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0,94%</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Informação</w:t>
            </w:r>
            <w:r>
              <w:rPr>
                <w:spacing w:val="-10"/>
                <w:sz w:val="24"/>
              </w:rPr>
              <w:t> </w:t>
            </w:r>
            <w:r>
              <w:rPr>
                <w:sz w:val="24"/>
              </w:rPr>
              <w:t>específica</w:t>
            </w:r>
            <w:r>
              <w:rPr>
                <w:spacing w:val="-10"/>
                <w:sz w:val="24"/>
              </w:rPr>
              <w:t> </w:t>
            </w:r>
            <w:r>
              <w:rPr>
                <w:spacing w:val="-2"/>
                <w:sz w:val="24"/>
              </w:rPr>
              <w:t>(SEPUR)</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23</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0,83%</w:t>
            </w:r>
          </w:p>
        </w:tc>
      </w:tr>
      <w:tr>
        <w:trPr>
          <w:trHeight w:val="458" w:hRule="atLeast"/>
        </w:trPr>
        <w:tc>
          <w:tcPr>
            <w:tcW w:w="5516" w:type="dxa"/>
            <w:tcBorders>
              <w:top w:val="single" w:sz="6" w:space="0" w:color="CCCCCC"/>
              <w:bottom w:val="single" w:sz="6" w:space="0" w:color="CCCCCC"/>
              <w:right w:val="single" w:sz="6" w:space="0" w:color="CCCCCC"/>
            </w:tcBorders>
          </w:tcPr>
          <w:p>
            <w:pPr>
              <w:pStyle w:val="TableParagraph"/>
              <w:ind w:left="41"/>
              <w:rPr>
                <w:sz w:val="24"/>
              </w:rPr>
            </w:pPr>
            <w:r>
              <w:rPr>
                <w:sz w:val="24"/>
              </w:rPr>
              <w:t>Dados</w:t>
            </w:r>
            <w:r>
              <w:rPr>
                <w:spacing w:val="-1"/>
                <w:sz w:val="24"/>
              </w:rPr>
              <w:t> </w:t>
            </w:r>
            <w:r>
              <w:rPr>
                <w:sz w:val="24"/>
              </w:rPr>
              <w:t>meteorológicos</w:t>
            </w:r>
            <w:r>
              <w:rPr>
                <w:spacing w:val="-1"/>
                <w:sz w:val="24"/>
              </w:rPr>
              <w:t> </w:t>
            </w:r>
            <w:r>
              <w:rPr>
                <w:spacing w:val="-2"/>
                <w:sz w:val="24"/>
              </w:rPr>
              <w:t>(SEPROT)</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rPr>
                <w:sz w:val="24"/>
              </w:rPr>
            </w:pPr>
            <w:r>
              <w:rPr>
                <w:spacing w:val="-5"/>
                <w:sz w:val="24"/>
              </w:rPr>
              <w:t>23</w:t>
            </w:r>
          </w:p>
        </w:tc>
        <w:tc>
          <w:tcPr>
            <w:tcW w:w="1352" w:type="dxa"/>
            <w:tcBorders>
              <w:top w:val="single" w:sz="6" w:space="0" w:color="CCCCCC"/>
              <w:left w:val="single" w:sz="6" w:space="0" w:color="CCCCCC"/>
              <w:bottom w:val="single" w:sz="6" w:space="0" w:color="CCCCCC"/>
            </w:tcBorders>
          </w:tcPr>
          <w:p>
            <w:pPr>
              <w:pStyle w:val="TableParagraph"/>
              <w:rPr>
                <w:sz w:val="24"/>
              </w:rPr>
            </w:pPr>
            <w:r>
              <w:rPr>
                <w:spacing w:val="-2"/>
                <w:sz w:val="24"/>
              </w:rPr>
              <w:t>0,83%</w:t>
            </w:r>
          </w:p>
        </w:tc>
      </w:tr>
      <w:tr>
        <w:trPr>
          <w:trHeight w:val="461" w:hRule="atLeast"/>
        </w:trPr>
        <w:tc>
          <w:tcPr>
            <w:tcW w:w="5516" w:type="dxa"/>
            <w:tcBorders>
              <w:top w:val="single" w:sz="6" w:space="0" w:color="CCCCCC"/>
              <w:bottom w:val="single" w:sz="6" w:space="0" w:color="CCCCCC"/>
              <w:right w:val="single" w:sz="6" w:space="0" w:color="CCCCCC"/>
            </w:tcBorders>
          </w:tcPr>
          <w:p>
            <w:pPr>
              <w:pStyle w:val="TableParagraph"/>
              <w:spacing w:before="39"/>
              <w:ind w:left="41"/>
              <w:rPr>
                <w:sz w:val="24"/>
              </w:rPr>
            </w:pPr>
            <w:r>
              <w:rPr>
                <w:sz w:val="24"/>
              </w:rPr>
              <w:t>Informação</w:t>
            </w:r>
            <w:r>
              <w:rPr>
                <w:spacing w:val="-11"/>
                <w:sz w:val="24"/>
              </w:rPr>
              <w:t> </w:t>
            </w:r>
            <w:r>
              <w:rPr>
                <w:sz w:val="24"/>
              </w:rPr>
              <w:t>sobre</w:t>
            </w:r>
            <w:r>
              <w:rPr>
                <w:spacing w:val="-11"/>
                <w:sz w:val="24"/>
              </w:rPr>
              <w:t> </w:t>
            </w:r>
            <w:r>
              <w:rPr>
                <w:sz w:val="24"/>
              </w:rPr>
              <w:t>concurso/Processo</w:t>
            </w:r>
            <w:r>
              <w:rPr>
                <w:spacing w:val="-10"/>
                <w:sz w:val="24"/>
              </w:rPr>
              <w:t> </w:t>
            </w:r>
            <w:r>
              <w:rPr>
                <w:spacing w:val="-2"/>
                <w:sz w:val="24"/>
              </w:rPr>
              <w:t>seletivo</w:t>
            </w:r>
          </w:p>
        </w:tc>
        <w:tc>
          <w:tcPr>
            <w:tcW w:w="1636" w:type="dxa"/>
            <w:tcBorders>
              <w:top w:val="single" w:sz="6" w:space="0" w:color="CCCCCC"/>
              <w:left w:val="single" w:sz="6" w:space="0" w:color="CCCCCC"/>
              <w:bottom w:val="single" w:sz="6" w:space="0" w:color="CCCCCC"/>
              <w:right w:val="single" w:sz="6" w:space="0" w:color="CCCCCC"/>
            </w:tcBorders>
          </w:tcPr>
          <w:p>
            <w:pPr>
              <w:pStyle w:val="TableParagraph"/>
              <w:spacing w:before="39"/>
              <w:rPr>
                <w:sz w:val="24"/>
              </w:rPr>
            </w:pPr>
            <w:r>
              <w:rPr>
                <w:spacing w:val="-5"/>
                <w:sz w:val="24"/>
              </w:rPr>
              <w:t>16</w:t>
            </w:r>
          </w:p>
        </w:tc>
        <w:tc>
          <w:tcPr>
            <w:tcW w:w="1352" w:type="dxa"/>
            <w:tcBorders>
              <w:top w:val="single" w:sz="6" w:space="0" w:color="CCCCCC"/>
              <w:left w:val="single" w:sz="6" w:space="0" w:color="CCCCCC"/>
              <w:bottom w:val="single" w:sz="6" w:space="0" w:color="CCCCCC"/>
            </w:tcBorders>
          </w:tcPr>
          <w:p>
            <w:pPr>
              <w:pStyle w:val="TableParagraph"/>
              <w:spacing w:before="39"/>
              <w:rPr>
                <w:sz w:val="24"/>
              </w:rPr>
            </w:pPr>
            <w:r>
              <w:rPr>
                <w:spacing w:val="-2"/>
                <w:sz w:val="24"/>
              </w:rPr>
              <w:t>0,58%</w:t>
            </w:r>
          </w:p>
        </w:tc>
      </w:tr>
      <w:tr>
        <w:trPr>
          <w:trHeight w:val="459" w:hRule="atLeast"/>
        </w:trPr>
        <w:tc>
          <w:tcPr>
            <w:tcW w:w="5516" w:type="dxa"/>
            <w:tcBorders>
              <w:top w:val="single" w:sz="6" w:space="0" w:color="CCCCCC"/>
              <w:right w:val="single" w:sz="6" w:space="0" w:color="CCCCCC"/>
            </w:tcBorders>
          </w:tcPr>
          <w:p>
            <w:pPr>
              <w:pStyle w:val="TableParagraph"/>
              <w:ind w:left="41"/>
              <w:rPr>
                <w:sz w:val="24"/>
              </w:rPr>
            </w:pPr>
            <w:r>
              <w:rPr>
                <w:spacing w:val="-2"/>
                <w:sz w:val="24"/>
              </w:rPr>
              <w:t>Outros</w:t>
            </w:r>
          </w:p>
        </w:tc>
        <w:tc>
          <w:tcPr>
            <w:tcW w:w="1636" w:type="dxa"/>
            <w:tcBorders>
              <w:top w:val="single" w:sz="6" w:space="0" w:color="CCCCCC"/>
              <w:left w:val="single" w:sz="6" w:space="0" w:color="CCCCCC"/>
              <w:right w:val="single" w:sz="6" w:space="0" w:color="CCCCCC"/>
            </w:tcBorders>
          </w:tcPr>
          <w:p>
            <w:pPr>
              <w:pStyle w:val="TableParagraph"/>
              <w:rPr>
                <w:sz w:val="24"/>
              </w:rPr>
            </w:pPr>
            <w:r>
              <w:rPr>
                <w:spacing w:val="-5"/>
                <w:sz w:val="24"/>
              </w:rPr>
              <w:t>317</w:t>
            </w:r>
          </w:p>
        </w:tc>
        <w:tc>
          <w:tcPr>
            <w:tcW w:w="1352" w:type="dxa"/>
            <w:tcBorders>
              <w:top w:val="single" w:sz="6" w:space="0" w:color="CCCCCC"/>
              <w:left w:val="single" w:sz="6" w:space="0" w:color="CCCCCC"/>
            </w:tcBorders>
          </w:tcPr>
          <w:p>
            <w:pPr>
              <w:pStyle w:val="TableParagraph"/>
              <w:rPr>
                <w:sz w:val="24"/>
              </w:rPr>
            </w:pPr>
            <w:r>
              <w:rPr>
                <w:spacing w:val="-2"/>
                <w:sz w:val="24"/>
              </w:rPr>
              <w:t>11,42%</w:t>
            </w:r>
          </w:p>
        </w:tc>
      </w:tr>
      <w:tr>
        <w:trPr>
          <w:trHeight w:val="460" w:hRule="atLeast"/>
        </w:trPr>
        <w:tc>
          <w:tcPr>
            <w:tcW w:w="5516" w:type="dxa"/>
            <w:tcBorders>
              <w:right w:val="single" w:sz="6" w:space="0" w:color="CCCCCC"/>
            </w:tcBorders>
          </w:tcPr>
          <w:p>
            <w:pPr>
              <w:pStyle w:val="TableParagraph"/>
              <w:spacing w:before="39"/>
              <w:ind w:left="41"/>
              <w:rPr>
                <w:rFonts w:ascii="Arial"/>
                <w:b/>
                <w:sz w:val="24"/>
              </w:rPr>
            </w:pPr>
            <w:r>
              <w:rPr>
                <w:rFonts w:ascii="Arial"/>
                <w:b/>
                <w:spacing w:val="-2"/>
                <w:sz w:val="24"/>
              </w:rPr>
              <w:t>Total</w:t>
            </w:r>
          </w:p>
        </w:tc>
        <w:tc>
          <w:tcPr>
            <w:tcW w:w="1636" w:type="dxa"/>
            <w:tcBorders>
              <w:left w:val="single" w:sz="6" w:space="0" w:color="CCCCCC"/>
              <w:right w:val="single" w:sz="6" w:space="0" w:color="CCCCCC"/>
            </w:tcBorders>
          </w:tcPr>
          <w:p>
            <w:pPr>
              <w:pStyle w:val="TableParagraph"/>
              <w:spacing w:before="39"/>
              <w:rPr>
                <w:rFonts w:ascii="Arial"/>
                <w:b/>
                <w:sz w:val="24"/>
              </w:rPr>
            </w:pPr>
            <w:r>
              <w:rPr>
                <w:rFonts w:ascii="Arial"/>
                <w:b/>
                <w:spacing w:val="-2"/>
                <w:sz w:val="24"/>
              </w:rPr>
              <w:t>2.775</w:t>
            </w:r>
          </w:p>
        </w:tc>
        <w:tc>
          <w:tcPr>
            <w:tcW w:w="1352" w:type="dxa"/>
            <w:tcBorders>
              <w:left w:val="single" w:sz="6" w:space="0" w:color="CCCCCC"/>
            </w:tcBorders>
          </w:tcPr>
          <w:p>
            <w:pPr>
              <w:pStyle w:val="TableParagraph"/>
              <w:spacing w:before="39"/>
              <w:rPr>
                <w:rFonts w:ascii="Arial"/>
                <w:b/>
                <w:sz w:val="24"/>
              </w:rPr>
            </w:pPr>
            <w:r>
              <w:rPr>
                <w:rFonts w:ascii="Arial"/>
                <w:b/>
                <w:spacing w:val="-2"/>
                <w:sz w:val="24"/>
              </w:rPr>
              <w:t>100,00%</w:t>
            </w:r>
          </w:p>
        </w:tc>
      </w:tr>
    </w:tbl>
    <w:p>
      <w:pPr>
        <w:pStyle w:val="TableParagraph"/>
        <w:spacing w:after="0"/>
        <w:rPr>
          <w:rFonts w:ascii="Arial"/>
          <w:b/>
          <w:sz w:val="24"/>
        </w:rPr>
        <w:sectPr>
          <w:type w:val="continuous"/>
          <w:pgSz w:w="11910" w:h="16840"/>
          <w:pgMar w:header="0" w:footer="972" w:top="1380" w:bottom="1160" w:left="1559" w:right="1417"/>
        </w:sectPr>
      </w:pPr>
    </w:p>
    <w:p>
      <w:pPr>
        <w:pStyle w:val="Heading1"/>
        <w:numPr>
          <w:ilvl w:val="0"/>
          <w:numId w:val="1"/>
        </w:numPr>
        <w:tabs>
          <w:tab w:pos="852" w:val="left" w:leader="none"/>
        </w:tabs>
        <w:spacing w:line="240" w:lineRule="auto" w:before="70" w:after="0"/>
        <w:ind w:left="852" w:right="0" w:hanging="282"/>
        <w:jc w:val="left"/>
      </w:pPr>
      <w:r>
        <w:rPr/>
        <w:t>Pedidos</w:t>
      </w:r>
      <w:r>
        <w:rPr>
          <w:spacing w:val="-6"/>
        </w:rPr>
        <w:t> </w:t>
      </w:r>
      <w:r>
        <w:rPr/>
        <w:t>atendidos</w:t>
      </w:r>
      <w:r>
        <w:rPr>
          <w:spacing w:val="-6"/>
        </w:rPr>
        <w:t> </w:t>
      </w:r>
      <w:r>
        <w:rPr/>
        <w:t>e</w:t>
      </w:r>
      <w:r>
        <w:rPr>
          <w:spacing w:val="-5"/>
        </w:rPr>
        <w:t> </w:t>
      </w:r>
      <w:r>
        <w:rPr>
          <w:spacing w:val="-2"/>
        </w:rPr>
        <w:t>indeferidos</w:t>
      </w:r>
    </w:p>
    <w:p>
      <w:pPr>
        <w:pStyle w:val="BodyText"/>
        <w:spacing w:line="331" w:lineRule="auto" w:before="226"/>
        <w:ind w:left="144" w:right="279" w:firstLine="720"/>
        <w:jc w:val="both"/>
      </w:pPr>
      <w:r>
        <w:rPr/>
        <w:t>Quanto ao deferimento dos pedidos, verificou-se que em </w:t>
      </w:r>
      <w:r>
        <w:rPr>
          <w:rFonts w:ascii="Arial" w:hAnsi="Arial"/>
          <w:b/>
        </w:rPr>
        <w:t>2.323 processos</w:t>
      </w:r>
      <w:r>
        <w:rPr>
          <w:rFonts w:ascii="Arial" w:hAnsi="Arial"/>
          <w:b/>
          <w:spacing w:val="-3"/>
        </w:rPr>
        <w:t> </w:t>
      </w:r>
      <w:r>
        <w:rPr/>
        <w:t>houve deferimento, com encaminhamento da informação solicitada ou indicação do local eletrônico ou físico onde esta se encontrava disponível.</w:t>
      </w:r>
    </w:p>
    <w:p>
      <w:pPr>
        <w:spacing w:before="121"/>
        <w:ind w:left="864" w:right="0" w:firstLine="0"/>
        <w:jc w:val="left"/>
        <w:rPr>
          <w:sz w:val="24"/>
        </w:rPr>
      </w:pPr>
      <w:r>
        <w:rPr>
          <w:sz w:val="24"/>
        </w:rPr>
        <w:t>Foram</w:t>
      </w:r>
      <w:r>
        <w:rPr>
          <w:spacing w:val="-4"/>
          <w:sz w:val="24"/>
        </w:rPr>
        <w:t> </w:t>
      </w:r>
      <w:r>
        <w:rPr>
          <w:rFonts w:ascii="Arial"/>
          <w:b/>
          <w:sz w:val="24"/>
        </w:rPr>
        <w:t>10</w:t>
      </w:r>
      <w:r>
        <w:rPr>
          <w:rFonts w:ascii="Arial"/>
          <w:b/>
          <w:spacing w:val="-3"/>
          <w:sz w:val="24"/>
        </w:rPr>
        <w:t> </w:t>
      </w:r>
      <w:r>
        <w:rPr>
          <w:rFonts w:ascii="Arial"/>
          <w:b/>
          <w:sz w:val="24"/>
        </w:rPr>
        <w:t>pedidos</w:t>
      </w:r>
      <w:r>
        <w:rPr>
          <w:rFonts w:ascii="Arial"/>
          <w:b/>
          <w:spacing w:val="-3"/>
          <w:sz w:val="24"/>
        </w:rPr>
        <w:t> </w:t>
      </w:r>
      <w:r>
        <w:rPr>
          <w:rFonts w:ascii="Arial"/>
          <w:b/>
          <w:spacing w:val="-2"/>
          <w:sz w:val="24"/>
        </w:rPr>
        <w:t>indeferidos</w:t>
      </w:r>
      <w:r>
        <w:rPr>
          <w:spacing w:val="-2"/>
          <w:sz w:val="24"/>
        </w:rPr>
        <w:t>.</w:t>
      </w:r>
    </w:p>
    <w:p>
      <w:pPr>
        <w:pStyle w:val="BodyText"/>
        <w:rPr>
          <w:sz w:val="20"/>
        </w:rPr>
      </w:pPr>
    </w:p>
    <w:p>
      <w:pPr>
        <w:pStyle w:val="BodyText"/>
        <w:rPr>
          <w:sz w:val="20"/>
        </w:rPr>
      </w:pPr>
    </w:p>
    <w:p>
      <w:pPr>
        <w:pStyle w:val="BodyText"/>
        <w:rPr>
          <w:sz w:val="20"/>
        </w:rPr>
      </w:pPr>
    </w:p>
    <w:p>
      <w:pPr>
        <w:pStyle w:val="BodyText"/>
        <w:spacing w:before="38"/>
        <w:rPr>
          <w:sz w:val="20"/>
        </w:rPr>
      </w:pPr>
      <w:r>
        <w:rPr>
          <w:sz w:val="20"/>
        </w:rPr>
        <w:drawing>
          <wp:anchor distT="0" distB="0" distL="0" distR="0" allowOverlap="1" layoutInCell="1" locked="0" behindDoc="1" simplePos="0" relativeHeight="487588864">
            <wp:simplePos x="0" y="0"/>
            <wp:positionH relativeFrom="page">
              <wp:posOffset>1199520</wp:posOffset>
            </wp:positionH>
            <wp:positionV relativeFrom="paragraph">
              <wp:posOffset>185422</wp:posOffset>
            </wp:positionV>
            <wp:extent cx="5117421" cy="316992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5117421" cy="3169920"/>
                    </a:xfrm>
                    <a:prstGeom prst="rect">
                      <a:avLst/>
                    </a:prstGeom>
                  </pic:spPr>
                </pic:pic>
              </a:graphicData>
            </a:graphic>
          </wp:anchor>
        </w:drawing>
      </w:r>
    </w:p>
    <w:p>
      <w:pPr>
        <w:pStyle w:val="BodyText"/>
        <w:rPr>
          <w:sz w:val="20"/>
        </w:rPr>
      </w:pPr>
    </w:p>
    <w:p>
      <w:pPr>
        <w:pStyle w:val="BodyText"/>
        <w:spacing w:before="43"/>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90"/>
        <w:gridCol w:w="1914"/>
      </w:tblGrid>
      <w:tr>
        <w:trPr>
          <w:trHeight w:val="459" w:hRule="atLeast"/>
        </w:trPr>
        <w:tc>
          <w:tcPr>
            <w:tcW w:w="6590" w:type="dxa"/>
            <w:tcBorders>
              <w:right w:val="single" w:sz="6" w:space="0" w:color="CCCCCC"/>
            </w:tcBorders>
          </w:tcPr>
          <w:p>
            <w:pPr>
              <w:pStyle w:val="TableParagraph"/>
              <w:ind w:left="41"/>
              <w:rPr>
                <w:rFonts w:ascii="Arial"/>
                <w:b/>
                <w:sz w:val="24"/>
              </w:rPr>
            </w:pPr>
            <w:r>
              <w:rPr>
                <w:rFonts w:ascii="Arial"/>
                <w:b/>
                <w:spacing w:val="-2"/>
                <w:sz w:val="24"/>
              </w:rPr>
              <w:t>Deferimento</w:t>
            </w:r>
          </w:p>
        </w:tc>
        <w:tc>
          <w:tcPr>
            <w:tcW w:w="1914" w:type="dxa"/>
            <w:tcBorders>
              <w:left w:val="single" w:sz="6" w:space="0" w:color="CCCCCC"/>
            </w:tcBorders>
          </w:tcPr>
          <w:p>
            <w:pPr>
              <w:pStyle w:val="TableParagraph"/>
              <w:ind w:left="40"/>
              <w:rPr>
                <w:rFonts w:ascii="Arial"/>
                <w:b/>
                <w:sz w:val="24"/>
              </w:rPr>
            </w:pPr>
            <w:r>
              <w:rPr>
                <w:rFonts w:ascii="Arial"/>
                <w:b/>
                <w:spacing w:val="-2"/>
                <w:sz w:val="24"/>
              </w:rPr>
              <w:t>Quantidade</w:t>
            </w:r>
          </w:p>
        </w:tc>
      </w:tr>
      <w:tr>
        <w:trPr>
          <w:trHeight w:val="460" w:hRule="atLeast"/>
        </w:trPr>
        <w:tc>
          <w:tcPr>
            <w:tcW w:w="6590" w:type="dxa"/>
            <w:tcBorders>
              <w:bottom w:val="single" w:sz="6" w:space="0" w:color="CCCCCC"/>
              <w:right w:val="single" w:sz="6" w:space="0" w:color="CCCCCC"/>
            </w:tcBorders>
          </w:tcPr>
          <w:p>
            <w:pPr>
              <w:pStyle w:val="TableParagraph"/>
              <w:spacing w:before="39"/>
              <w:ind w:left="41"/>
              <w:rPr>
                <w:sz w:val="24"/>
              </w:rPr>
            </w:pPr>
            <w:r>
              <w:rPr>
                <w:spacing w:val="-2"/>
                <w:sz w:val="24"/>
              </w:rPr>
              <w:t>Deferido</w:t>
            </w:r>
          </w:p>
        </w:tc>
        <w:tc>
          <w:tcPr>
            <w:tcW w:w="1914" w:type="dxa"/>
            <w:tcBorders>
              <w:left w:val="single" w:sz="6" w:space="0" w:color="CCCCCC"/>
              <w:bottom w:val="single" w:sz="6" w:space="0" w:color="CCCCCC"/>
            </w:tcBorders>
          </w:tcPr>
          <w:p>
            <w:pPr>
              <w:pStyle w:val="TableParagraph"/>
              <w:spacing w:before="39"/>
              <w:ind w:left="40"/>
              <w:rPr>
                <w:sz w:val="24"/>
              </w:rPr>
            </w:pPr>
            <w:r>
              <w:rPr>
                <w:spacing w:val="-4"/>
                <w:sz w:val="24"/>
              </w:rPr>
              <w:t>2323</w:t>
            </w:r>
          </w:p>
        </w:tc>
      </w:tr>
      <w:tr>
        <w:trPr>
          <w:trHeight w:val="459" w:hRule="atLeast"/>
        </w:trPr>
        <w:tc>
          <w:tcPr>
            <w:tcW w:w="6590"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Outros</w:t>
            </w:r>
          </w:p>
        </w:tc>
        <w:tc>
          <w:tcPr>
            <w:tcW w:w="1914" w:type="dxa"/>
            <w:tcBorders>
              <w:top w:val="single" w:sz="6" w:space="0" w:color="CCCCCC"/>
              <w:left w:val="single" w:sz="6" w:space="0" w:color="CCCCCC"/>
              <w:bottom w:val="single" w:sz="6" w:space="0" w:color="CCCCCC"/>
            </w:tcBorders>
          </w:tcPr>
          <w:p>
            <w:pPr>
              <w:pStyle w:val="TableParagraph"/>
              <w:ind w:left="40"/>
              <w:rPr>
                <w:sz w:val="24"/>
              </w:rPr>
            </w:pPr>
            <w:r>
              <w:rPr>
                <w:spacing w:val="-5"/>
                <w:sz w:val="24"/>
              </w:rPr>
              <w:t>442</w:t>
            </w:r>
          </w:p>
        </w:tc>
      </w:tr>
      <w:tr>
        <w:trPr>
          <w:trHeight w:val="461" w:hRule="atLeast"/>
        </w:trPr>
        <w:tc>
          <w:tcPr>
            <w:tcW w:w="6590" w:type="dxa"/>
            <w:tcBorders>
              <w:top w:val="single" w:sz="6" w:space="0" w:color="CCCCCC"/>
              <w:right w:val="single" w:sz="6" w:space="0" w:color="CCCCCC"/>
            </w:tcBorders>
          </w:tcPr>
          <w:p>
            <w:pPr>
              <w:pStyle w:val="TableParagraph"/>
              <w:spacing w:before="39"/>
              <w:ind w:left="41"/>
              <w:rPr>
                <w:sz w:val="24"/>
              </w:rPr>
            </w:pPr>
            <w:r>
              <w:rPr>
                <w:spacing w:val="-2"/>
                <w:sz w:val="24"/>
              </w:rPr>
              <w:t>Indeferido</w:t>
            </w:r>
          </w:p>
        </w:tc>
        <w:tc>
          <w:tcPr>
            <w:tcW w:w="1914" w:type="dxa"/>
            <w:tcBorders>
              <w:top w:val="single" w:sz="6" w:space="0" w:color="CCCCCC"/>
              <w:left w:val="single" w:sz="6" w:space="0" w:color="CCCCCC"/>
            </w:tcBorders>
          </w:tcPr>
          <w:p>
            <w:pPr>
              <w:pStyle w:val="TableParagraph"/>
              <w:spacing w:before="39"/>
              <w:ind w:left="40"/>
              <w:rPr>
                <w:sz w:val="24"/>
              </w:rPr>
            </w:pPr>
            <w:r>
              <w:rPr>
                <w:spacing w:val="-5"/>
                <w:sz w:val="24"/>
              </w:rPr>
              <w:t>10</w:t>
            </w:r>
          </w:p>
        </w:tc>
      </w:tr>
      <w:tr>
        <w:trPr>
          <w:trHeight w:val="458" w:hRule="atLeast"/>
        </w:trPr>
        <w:tc>
          <w:tcPr>
            <w:tcW w:w="6590" w:type="dxa"/>
            <w:tcBorders>
              <w:right w:val="single" w:sz="6" w:space="0" w:color="CCCCCC"/>
            </w:tcBorders>
          </w:tcPr>
          <w:p>
            <w:pPr>
              <w:pStyle w:val="TableParagraph"/>
              <w:ind w:left="41"/>
              <w:rPr>
                <w:rFonts w:ascii="Arial"/>
                <w:b/>
                <w:sz w:val="24"/>
              </w:rPr>
            </w:pPr>
            <w:r>
              <w:rPr>
                <w:rFonts w:ascii="Arial"/>
                <w:b/>
                <w:spacing w:val="-2"/>
                <w:sz w:val="24"/>
              </w:rPr>
              <w:t>Total</w:t>
            </w:r>
          </w:p>
        </w:tc>
        <w:tc>
          <w:tcPr>
            <w:tcW w:w="1914" w:type="dxa"/>
            <w:tcBorders>
              <w:left w:val="single" w:sz="6" w:space="0" w:color="CCCCCC"/>
            </w:tcBorders>
          </w:tcPr>
          <w:p>
            <w:pPr>
              <w:pStyle w:val="TableParagraph"/>
              <w:ind w:left="40"/>
              <w:rPr>
                <w:rFonts w:ascii="Arial"/>
                <w:b/>
                <w:sz w:val="24"/>
              </w:rPr>
            </w:pPr>
            <w:r>
              <w:rPr>
                <w:rFonts w:ascii="Arial"/>
                <w:b/>
                <w:spacing w:val="-2"/>
                <w:sz w:val="24"/>
              </w:rPr>
              <w:t>2.775</w:t>
            </w:r>
          </w:p>
        </w:tc>
      </w:tr>
    </w:tbl>
    <w:p>
      <w:pPr>
        <w:pStyle w:val="BodyText"/>
      </w:pPr>
    </w:p>
    <w:p>
      <w:pPr>
        <w:pStyle w:val="BodyText"/>
        <w:spacing w:before="67"/>
      </w:pPr>
    </w:p>
    <w:p>
      <w:pPr>
        <w:pStyle w:val="BodyText"/>
        <w:spacing w:line="331" w:lineRule="auto"/>
        <w:ind w:left="144" w:right="286" w:firstLine="720"/>
        <w:jc w:val="both"/>
      </w:pPr>
      <w:r>
        <w:rPr/>
        <w:t>Na categoria </w:t>
      </w:r>
      <w:r>
        <w:rPr>
          <w:rFonts w:ascii="Arial" w:hAnsi="Arial"/>
          <w:b/>
        </w:rPr>
        <w:t>Outros</w:t>
      </w:r>
      <w:r>
        <w:rPr>
          <w:rFonts w:ascii="Arial" w:hAnsi="Arial"/>
          <w:b/>
          <w:spacing w:val="-9"/>
        </w:rPr>
        <w:t> </w:t>
      </w:r>
      <w:r>
        <w:rPr/>
        <w:t>estão agrupados os processos que não receberam classificação quanto ao deferimento, tais como pedidos incompletos, não competentes, formulários incorretos, duplicidades, bem como aqueles que, por erro ou omissão do agente responsável, não foram devidamente classificados.</w:t>
      </w:r>
    </w:p>
    <w:p>
      <w:pPr>
        <w:pStyle w:val="BodyText"/>
        <w:spacing w:after="0" w:line="331" w:lineRule="auto"/>
        <w:jc w:val="both"/>
        <w:sectPr>
          <w:pgSz w:w="11910" w:h="16840"/>
          <w:pgMar w:header="0" w:footer="972" w:top="1820" w:bottom="1160" w:left="1559" w:right="1417"/>
        </w:sectPr>
      </w:pPr>
    </w:p>
    <w:p>
      <w:pPr>
        <w:pStyle w:val="Heading1"/>
        <w:numPr>
          <w:ilvl w:val="0"/>
          <w:numId w:val="1"/>
        </w:numPr>
        <w:tabs>
          <w:tab w:pos="852" w:val="left" w:leader="none"/>
        </w:tabs>
        <w:spacing w:line="240" w:lineRule="auto" w:before="79" w:after="0"/>
        <w:ind w:left="852" w:right="0" w:hanging="282"/>
        <w:jc w:val="left"/>
      </w:pPr>
      <w:r>
        <w:rPr/>
        <w:t>Informações</w:t>
      </w:r>
      <w:r>
        <w:rPr>
          <w:spacing w:val="-7"/>
        </w:rPr>
        <w:t> </w:t>
      </w:r>
      <w:r>
        <w:rPr/>
        <w:t>genéricas</w:t>
      </w:r>
      <w:r>
        <w:rPr>
          <w:spacing w:val="-7"/>
        </w:rPr>
        <w:t> </w:t>
      </w:r>
      <w:r>
        <w:rPr/>
        <w:t>sobre</w:t>
      </w:r>
      <w:r>
        <w:rPr>
          <w:spacing w:val="-7"/>
        </w:rPr>
        <w:t> </w:t>
      </w:r>
      <w:r>
        <w:rPr/>
        <w:t>os</w:t>
      </w:r>
      <w:r>
        <w:rPr>
          <w:spacing w:val="-6"/>
        </w:rPr>
        <w:t> </w:t>
      </w:r>
      <w:r>
        <w:rPr>
          <w:spacing w:val="-2"/>
        </w:rPr>
        <w:t>solicitantes</w:t>
      </w:r>
    </w:p>
    <w:p>
      <w:pPr>
        <w:pStyle w:val="BodyText"/>
        <w:spacing w:line="331" w:lineRule="auto" w:before="226"/>
        <w:ind w:left="144" w:right="281" w:firstLine="720"/>
        <w:jc w:val="both"/>
      </w:pPr>
      <w:r>
        <w:rPr/>
        <w:t>Dos</w:t>
      </w:r>
      <w:r>
        <w:rPr>
          <w:spacing w:val="-6"/>
        </w:rPr>
        <w:t> </w:t>
      </w:r>
      <w:r>
        <w:rPr/>
        <w:t>processos</w:t>
      </w:r>
      <w:r>
        <w:rPr>
          <w:spacing w:val="-4"/>
        </w:rPr>
        <w:t> </w:t>
      </w:r>
      <w:r>
        <w:rPr/>
        <w:t>recebidos,</w:t>
      </w:r>
      <w:r>
        <w:rPr>
          <w:spacing w:val="-1"/>
        </w:rPr>
        <w:t> </w:t>
      </w:r>
      <w:r>
        <w:rPr>
          <w:rFonts w:ascii="Arial" w:hAnsi="Arial"/>
          <w:b/>
        </w:rPr>
        <w:t>1.517</w:t>
      </w:r>
      <w:r>
        <w:rPr>
          <w:rFonts w:ascii="Arial" w:hAnsi="Arial"/>
          <w:b/>
          <w:spacing w:val="-17"/>
        </w:rPr>
        <w:t> </w:t>
      </w:r>
      <w:r>
        <w:rPr/>
        <w:t>foram</w:t>
      </w:r>
      <w:r>
        <w:rPr>
          <w:spacing w:val="-3"/>
        </w:rPr>
        <w:t> </w:t>
      </w:r>
      <w:r>
        <w:rPr/>
        <w:t>abertos</w:t>
      </w:r>
      <w:r>
        <w:rPr>
          <w:spacing w:val="-4"/>
        </w:rPr>
        <w:t> </w:t>
      </w:r>
      <w:r>
        <w:rPr/>
        <w:t>por</w:t>
      </w:r>
      <w:r>
        <w:rPr>
          <w:spacing w:val="-4"/>
        </w:rPr>
        <w:t> </w:t>
      </w:r>
      <w:r>
        <w:rPr/>
        <w:t>solicitantes</w:t>
      </w:r>
      <w:r>
        <w:rPr>
          <w:spacing w:val="-4"/>
        </w:rPr>
        <w:t> </w:t>
      </w:r>
      <w:r>
        <w:rPr/>
        <w:t>do</w:t>
      </w:r>
      <w:r>
        <w:rPr>
          <w:spacing w:val="-4"/>
        </w:rPr>
        <w:t> </w:t>
      </w:r>
      <w:r>
        <w:rPr/>
        <w:t>gênero masculino e </w:t>
      </w:r>
      <w:r>
        <w:rPr>
          <w:rFonts w:ascii="Arial" w:hAnsi="Arial"/>
          <w:b/>
        </w:rPr>
        <w:t>1.187</w:t>
      </w:r>
      <w:r>
        <w:rPr>
          <w:rFonts w:ascii="Arial" w:hAnsi="Arial"/>
          <w:b/>
          <w:spacing w:val="-3"/>
        </w:rPr>
        <w:t> </w:t>
      </w:r>
      <w:r>
        <w:rPr/>
        <w:t>por solicitantes do gênero feminino.</w:t>
      </w:r>
    </w:p>
    <w:p>
      <w:pPr>
        <w:pStyle w:val="BodyText"/>
        <w:spacing w:line="331" w:lineRule="auto" w:before="124"/>
        <w:ind w:left="144" w:right="286" w:firstLine="720"/>
        <w:jc w:val="both"/>
      </w:pPr>
      <w:r>
        <w:rPr/>
        <w:t>Na categoria </w:t>
      </w:r>
      <w:r>
        <w:rPr>
          <w:rFonts w:ascii="Arial" w:hAnsi="Arial"/>
          <w:b/>
        </w:rPr>
        <w:t>Outros</w:t>
      </w:r>
      <w:r>
        <w:rPr/>
        <w:t>, encontram-se os processos em que não foi possível identificar o gênero, em razão do uso de nome de empresa ou instituição no campo de identificação ou pela ausência de classificação pelo agente avaliador.</w:t>
      </w:r>
    </w:p>
    <w:p>
      <w:pPr>
        <w:pStyle w:val="BodyText"/>
        <w:rPr>
          <w:sz w:val="20"/>
        </w:rPr>
      </w:pPr>
    </w:p>
    <w:p>
      <w:pPr>
        <w:pStyle w:val="BodyText"/>
        <w:rPr>
          <w:sz w:val="20"/>
        </w:rPr>
      </w:pPr>
    </w:p>
    <w:p>
      <w:pPr>
        <w:pStyle w:val="BodyText"/>
        <w:spacing w:before="209"/>
        <w:rPr>
          <w:sz w:val="20"/>
        </w:rPr>
      </w:pPr>
      <w:r>
        <w:rPr>
          <w:sz w:val="20"/>
        </w:rPr>
        <w:drawing>
          <wp:anchor distT="0" distB="0" distL="0" distR="0" allowOverlap="1" layoutInCell="1" locked="0" behindDoc="1" simplePos="0" relativeHeight="487589376">
            <wp:simplePos x="0" y="0"/>
            <wp:positionH relativeFrom="page">
              <wp:posOffset>1227048</wp:posOffset>
            </wp:positionH>
            <wp:positionV relativeFrom="paragraph">
              <wp:posOffset>294346</wp:posOffset>
            </wp:positionV>
            <wp:extent cx="5361873" cy="312115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5361873" cy="3121152"/>
                    </a:xfrm>
                    <a:prstGeom prst="rect">
                      <a:avLst/>
                    </a:prstGeom>
                  </pic:spPr>
                </pic:pic>
              </a:graphicData>
            </a:graphic>
          </wp:anchor>
        </w:drawing>
      </w:r>
    </w:p>
    <w:p>
      <w:pPr>
        <w:pStyle w:val="BodyText"/>
        <w:rPr>
          <w:sz w:val="20"/>
        </w:rPr>
      </w:pPr>
    </w:p>
    <w:p>
      <w:pPr>
        <w:pStyle w:val="BodyText"/>
        <w:rPr>
          <w:sz w:val="20"/>
        </w:rPr>
      </w:pPr>
    </w:p>
    <w:p>
      <w:pPr>
        <w:pStyle w:val="BodyText"/>
        <w:spacing w:before="124"/>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8"/>
        <w:gridCol w:w="1916"/>
      </w:tblGrid>
      <w:tr>
        <w:trPr>
          <w:trHeight w:val="458" w:hRule="atLeast"/>
        </w:trPr>
        <w:tc>
          <w:tcPr>
            <w:tcW w:w="6588" w:type="dxa"/>
            <w:tcBorders>
              <w:right w:val="single" w:sz="6" w:space="0" w:color="CCCCCC"/>
            </w:tcBorders>
          </w:tcPr>
          <w:p>
            <w:pPr>
              <w:pStyle w:val="TableParagraph"/>
              <w:ind w:left="41"/>
              <w:rPr>
                <w:rFonts w:ascii="Arial" w:hAnsi="Arial"/>
                <w:b/>
                <w:sz w:val="24"/>
              </w:rPr>
            </w:pPr>
            <w:r>
              <w:rPr>
                <w:rFonts w:ascii="Arial" w:hAnsi="Arial"/>
                <w:b/>
                <w:spacing w:val="-2"/>
                <w:sz w:val="24"/>
              </w:rPr>
              <w:t>Gênero</w:t>
            </w:r>
          </w:p>
        </w:tc>
        <w:tc>
          <w:tcPr>
            <w:tcW w:w="1916" w:type="dxa"/>
            <w:tcBorders>
              <w:left w:val="single" w:sz="6" w:space="0" w:color="CCCCCC"/>
            </w:tcBorders>
          </w:tcPr>
          <w:p>
            <w:pPr>
              <w:pStyle w:val="TableParagraph"/>
              <w:ind w:left="41"/>
              <w:rPr>
                <w:rFonts w:ascii="Arial"/>
                <w:b/>
                <w:sz w:val="24"/>
              </w:rPr>
            </w:pPr>
            <w:r>
              <w:rPr>
                <w:rFonts w:ascii="Arial"/>
                <w:b/>
                <w:spacing w:val="-2"/>
                <w:sz w:val="24"/>
              </w:rPr>
              <w:t>Quantidade</w:t>
            </w:r>
          </w:p>
        </w:tc>
      </w:tr>
      <w:tr>
        <w:trPr>
          <w:trHeight w:val="460" w:hRule="atLeast"/>
        </w:trPr>
        <w:tc>
          <w:tcPr>
            <w:tcW w:w="6588" w:type="dxa"/>
            <w:tcBorders>
              <w:bottom w:val="single" w:sz="6" w:space="0" w:color="CCCCCC"/>
              <w:right w:val="single" w:sz="6" w:space="0" w:color="CCCCCC"/>
            </w:tcBorders>
          </w:tcPr>
          <w:p>
            <w:pPr>
              <w:pStyle w:val="TableParagraph"/>
              <w:spacing w:before="39"/>
              <w:ind w:left="41"/>
              <w:rPr>
                <w:sz w:val="24"/>
              </w:rPr>
            </w:pPr>
            <w:r>
              <w:rPr>
                <w:spacing w:val="-2"/>
                <w:sz w:val="24"/>
              </w:rPr>
              <w:t>Masculino</w:t>
            </w:r>
          </w:p>
        </w:tc>
        <w:tc>
          <w:tcPr>
            <w:tcW w:w="1916" w:type="dxa"/>
            <w:tcBorders>
              <w:left w:val="single" w:sz="6" w:space="0" w:color="CCCCCC"/>
              <w:bottom w:val="single" w:sz="6" w:space="0" w:color="CCCCCC"/>
            </w:tcBorders>
          </w:tcPr>
          <w:p>
            <w:pPr>
              <w:pStyle w:val="TableParagraph"/>
              <w:spacing w:before="39"/>
              <w:ind w:left="41"/>
              <w:rPr>
                <w:sz w:val="24"/>
              </w:rPr>
            </w:pPr>
            <w:r>
              <w:rPr>
                <w:spacing w:val="-2"/>
                <w:sz w:val="24"/>
              </w:rPr>
              <w:t>1.517</w:t>
            </w:r>
          </w:p>
        </w:tc>
      </w:tr>
      <w:tr>
        <w:trPr>
          <w:trHeight w:val="459" w:hRule="atLeast"/>
        </w:trPr>
        <w:tc>
          <w:tcPr>
            <w:tcW w:w="6588" w:type="dxa"/>
            <w:tcBorders>
              <w:top w:val="single" w:sz="6" w:space="0" w:color="CCCCCC"/>
              <w:bottom w:val="single" w:sz="6" w:space="0" w:color="CCCCCC"/>
              <w:right w:val="single" w:sz="6" w:space="0" w:color="CCCCCC"/>
            </w:tcBorders>
          </w:tcPr>
          <w:p>
            <w:pPr>
              <w:pStyle w:val="TableParagraph"/>
              <w:ind w:left="41"/>
              <w:rPr>
                <w:sz w:val="24"/>
              </w:rPr>
            </w:pPr>
            <w:r>
              <w:rPr>
                <w:spacing w:val="-2"/>
                <w:sz w:val="24"/>
              </w:rPr>
              <w:t>Feminino</w:t>
            </w:r>
          </w:p>
        </w:tc>
        <w:tc>
          <w:tcPr>
            <w:tcW w:w="1916" w:type="dxa"/>
            <w:tcBorders>
              <w:top w:val="single" w:sz="6" w:space="0" w:color="CCCCCC"/>
              <w:left w:val="single" w:sz="6" w:space="0" w:color="CCCCCC"/>
              <w:bottom w:val="single" w:sz="6" w:space="0" w:color="CCCCCC"/>
            </w:tcBorders>
          </w:tcPr>
          <w:p>
            <w:pPr>
              <w:pStyle w:val="TableParagraph"/>
              <w:ind w:left="41"/>
              <w:rPr>
                <w:sz w:val="24"/>
              </w:rPr>
            </w:pPr>
            <w:r>
              <w:rPr>
                <w:spacing w:val="-2"/>
                <w:sz w:val="24"/>
              </w:rPr>
              <w:t>1.187</w:t>
            </w:r>
          </w:p>
        </w:tc>
      </w:tr>
      <w:tr>
        <w:trPr>
          <w:trHeight w:val="460" w:hRule="atLeast"/>
        </w:trPr>
        <w:tc>
          <w:tcPr>
            <w:tcW w:w="6588" w:type="dxa"/>
            <w:tcBorders>
              <w:top w:val="single" w:sz="6" w:space="0" w:color="CCCCCC"/>
              <w:right w:val="single" w:sz="6" w:space="0" w:color="CCCCCC"/>
            </w:tcBorders>
          </w:tcPr>
          <w:p>
            <w:pPr>
              <w:pStyle w:val="TableParagraph"/>
              <w:spacing w:before="39"/>
              <w:ind w:left="41"/>
              <w:rPr>
                <w:sz w:val="24"/>
              </w:rPr>
            </w:pPr>
            <w:r>
              <w:rPr>
                <w:spacing w:val="-2"/>
                <w:sz w:val="24"/>
              </w:rPr>
              <w:t>Outros</w:t>
            </w:r>
          </w:p>
        </w:tc>
        <w:tc>
          <w:tcPr>
            <w:tcW w:w="1916" w:type="dxa"/>
            <w:tcBorders>
              <w:top w:val="single" w:sz="6" w:space="0" w:color="CCCCCC"/>
              <w:left w:val="single" w:sz="6" w:space="0" w:color="CCCCCC"/>
            </w:tcBorders>
          </w:tcPr>
          <w:p>
            <w:pPr>
              <w:pStyle w:val="TableParagraph"/>
              <w:spacing w:before="39"/>
              <w:ind w:left="41"/>
              <w:rPr>
                <w:sz w:val="24"/>
              </w:rPr>
            </w:pPr>
            <w:r>
              <w:rPr>
                <w:spacing w:val="-5"/>
                <w:sz w:val="24"/>
              </w:rPr>
              <w:t>71</w:t>
            </w:r>
          </w:p>
        </w:tc>
      </w:tr>
      <w:tr>
        <w:trPr>
          <w:trHeight w:val="459" w:hRule="atLeast"/>
        </w:trPr>
        <w:tc>
          <w:tcPr>
            <w:tcW w:w="6588" w:type="dxa"/>
            <w:tcBorders>
              <w:right w:val="single" w:sz="6" w:space="0" w:color="CCCCCC"/>
            </w:tcBorders>
          </w:tcPr>
          <w:p>
            <w:pPr>
              <w:pStyle w:val="TableParagraph"/>
              <w:ind w:left="41"/>
              <w:rPr>
                <w:rFonts w:ascii="Arial"/>
                <w:b/>
                <w:sz w:val="24"/>
              </w:rPr>
            </w:pPr>
            <w:r>
              <w:rPr>
                <w:rFonts w:ascii="Arial"/>
                <w:b/>
                <w:spacing w:val="-2"/>
                <w:sz w:val="24"/>
              </w:rPr>
              <w:t>Total</w:t>
            </w:r>
          </w:p>
        </w:tc>
        <w:tc>
          <w:tcPr>
            <w:tcW w:w="1916" w:type="dxa"/>
            <w:tcBorders>
              <w:left w:val="single" w:sz="6" w:space="0" w:color="CCCCCC"/>
            </w:tcBorders>
          </w:tcPr>
          <w:p>
            <w:pPr>
              <w:pStyle w:val="TableParagraph"/>
              <w:ind w:left="41"/>
              <w:rPr>
                <w:rFonts w:ascii="Arial"/>
                <w:b/>
                <w:sz w:val="24"/>
              </w:rPr>
            </w:pPr>
            <w:r>
              <w:rPr>
                <w:rFonts w:ascii="Arial"/>
                <w:b/>
                <w:spacing w:val="-2"/>
                <w:sz w:val="24"/>
              </w:rPr>
              <w:t>2.775</w:t>
            </w:r>
          </w:p>
        </w:tc>
      </w:tr>
    </w:tbl>
    <w:p>
      <w:pPr>
        <w:pStyle w:val="BodyText"/>
      </w:pPr>
    </w:p>
    <w:p>
      <w:pPr>
        <w:pStyle w:val="BodyText"/>
        <w:spacing w:before="70"/>
      </w:pPr>
    </w:p>
    <w:p>
      <w:pPr>
        <w:pStyle w:val="Heading1"/>
        <w:numPr>
          <w:ilvl w:val="0"/>
          <w:numId w:val="1"/>
        </w:numPr>
        <w:tabs>
          <w:tab w:pos="852" w:val="left" w:leader="none"/>
        </w:tabs>
        <w:spacing w:line="331" w:lineRule="auto" w:before="0" w:after="0"/>
        <w:ind w:left="852" w:right="288" w:hanging="283"/>
        <w:jc w:val="left"/>
      </w:pPr>
      <w:r>
        <w:rPr/>
        <w:t>Informações</w:t>
      </w:r>
      <w:r>
        <w:rPr>
          <w:spacing w:val="40"/>
        </w:rPr>
        <w:t> </w:t>
      </w:r>
      <w:r>
        <w:rPr/>
        <w:t>classificadas</w:t>
      </w:r>
      <w:r>
        <w:rPr>
          <w:spacing w:val="40"/>
        </w:rPr>
        <w:t> </w:t>
      </w:r>
      <w:r>
        <w:rPr/>
        <w:t>e</w:t>
      </w:r>
      <w:r>
        <w:rPr>
          <w:spacing w:val="40"/>
        </w:rPr>
        <w:t> </w:t>
      </w:r>
      <w:r>
        <w:rPr/>
        <w:t>desclassificadas</w:t>
      </w:r>
      <w:r>
        <w:rPr>
          <w:spacing w:val="40"/>
        </w:rPr>
        <w:t> </w:t>
      </w:r>
      <w:r>
        <w:rPr/>
        <w:t>quanto</w:t>
      </w:r>
      <w:r>
        <w:rPr>
          <w:spacing w:val="40"/>
        </w:rPr>
        <w:t> </w:t>
      </w:r>
      <w:r>
        <w:rPr/>
        <w:t>ao</w:t>
      </w:r>
      <w:r>
        <w:rPr>
          <w:spacing w:val="40"/>
        </w:rPr>
        <w:t> </w:t>
      </w:r>
      <w:r>
        <w:rPr/>
        <w:t>grau</w:t>
      </w:r>
      <w:r>
        <w:rPr>
          <w:spacing w:val="40"/>
        </w:rPr>
        <w:t> </w:t>
      </w:r>
      <w:r>
        <w:rPr/>
        <w:t>de </w:t>
      </w:r>
      <w:r>
        <w:rPr>
          <w:spacing w:val="-2"/>
        </w:rPr>
        <w:t>sigilo</w:t>
      </w:r>
    </w:p>
    <w:p>
      <w:pPr>
        <w:spacing w:before="239"/>
        <w:ind w:left="864" w:right="0" w:firstLine="0"/>
        <w:jc w:val="left"/>
        <w:rPr>
          <w:rFonts w:ascii="Arial"/>
          <w:b/>
          <w:sz w:val="24"/>
        </w:rPr>
      </w:pPr>
      <w:r>
        <w:rPr>
          <w:rFonts w:ascii="Arial"/>
          <w:b/>
          <w:sz w:val="24"/>
        </w:rPr>
        <w:t>Documentos</w:t>
      </w:r>
      <w:r>
        <w:rPr>
          <w:rFonts w:ascii="Arial"/>
          <w:b/>
          <w:spacing w:val="-7"/>
          <w:sz w:val="24"/>
        </w:rPr>
        <w:t> </w:t>
      </w:r>
      <w:r>
        <w:rPr>
          <w:rFonts w:ascii="Arial"/>
          <w:b/>
          <w:sz w:val="24"/>
        </w:rPr>
        <w:t>classificados</w:t>
      </w:r>
      <w:r>
        <w:rPr>
          <w:rFonts w:ascii="Arial"/>
          <w:b/>
          <w:spacing w:val="-6"/>
          <w:sz w:val="24"/>
        </w:rPr>
        <w:t> </w:t>
      </w:r>
      <w:r>
        <w:rPr>
          <w:rFonts w:ascii="Arial"/>
          <w:b/>
          <w:sz w:val="24"/>
        </w:rPr>
        <w:t>por</w:t>
      </w:r>
      <w:r>
        <w:rPr>
          <w:rFonts w:ascii="Arial"/>
          <w:b/>
          <w:spacing w:val="-7"/>
          <w:sz w:val="24"/>
        </w:rPr>
        <w:t> </w:t>
      </w:r>
      <w:r>
        <w:rPr>
          <w:rFonts w:ascii="Arial"/>
          <w:b/>
          <w:sz w:val="24"/>
        </w:rPr>
        <w:t>grau</w:t>
      </w:r>
      <w:r>
        <w:rPr>
          <w:rFonts w:ascii="Arial"/>
          <w:b/>
          <w:spacing w:val="-6"/>
          <w:sz w:val="24"/>
        </w:rPr>
        <w:t> </w:t>
      </w:r>
      <w:r>
        <w:rPr>
          <w:rFonts w:ascii="Arial"/>
          <w:b/>
          <w:sz w:val="24"/>
        </w:rPr>
        <w:t>de</w:t>
      </w:r>
      <w:r>
        <w:rPr>
          <w:rFonts w:ascii="Arial"/>
          <w:b/>
          <w:spacing w:val="-6"/>
          <w:sz w:val="24"/>
        </w:rPr>
        <w:t> </w:t>
      </w:r>
      <w:r>
        <w:rPr>
          <w:rFonts w:ascii="Arial"/>
          <w:b/>
          <w:spacing w:val="-2"/>
          <w:sz w:val="24"/>
        </w:rPr>
        <w:t>sigilo:</w:t>
      </w:r>
    </w:p>
    <w:p>
      <w:pPr>
        <w:spacing w:after="0"/>
        <w:jc w:val="left"/>
        <w:rPr>
          <w:rFonts w:ascii="Arial"/>
          <w:b/>
          <w:sz w:val="24"/>
        </w:rPr>
        <w:sectPr>
          <w:pgSz w:w="11910" w:h="16840"/>
          <w:pgMar w:header="0" w:footer="972" w:top="1320" w:bottom="1160" w:left="1559" w:right="1417"/>
        </w:sectPr>
      </w:pPr>
    </w:p>
    <w:p>
      <w:pPr>
        <w:pStyle w:val="BodyText"/>
        <w:spacing w:line="331" w:lineRule="auto" w:before="79"/>
        <w:ind w:left="144" w:firstLine="720"/>
      </w:pPr>
      <w:r>
        <w:rPr/>
        <w:t>Não</w:t>
      </w:r>
      <w:r>
        <w:rPr>
          <w:spacing w:val="40"/>
        </w:rPr>
        <w:t> </w:t>
      </w:r>
      <w:r>
        <w:rPr/>
        <w:t>há</w:t>
      </w:r>
      <w:r>
        <w:rPr>
          <w:spacing w:val="40"/>
        </w:rPr>
        <w:t> </w:t>
      </w:r>
      <w:r>
        <w:rPr/>
        <w:t>documentos</w:t>
      </w:r>
      <w:r>
        <w:rPr>
          <w:spacing w:val="40"/>
        </w:rPr>
        <w:t> </w:t>
      </w:r>
      <w:r>
        <w:rPr/>
        <w:t>classificados</w:t>
      </w:r>
      <w:r>
        <w:rPr>
          <w:spacing w:val="40"/>
        </w:rPr>
        <w:t> </w:t>
      </w:r>
      <w:r>
        <w:rPr/>
        <w:t>com</w:t>
      </w:r>
      <w:r>
        <w:rPr>
          <w:spacing w:val="40"/>
        </w:rPr>
        <w:t> </w:t>
      </w:r>
      <w:r>
        <w:rPr/>
        <w:t>grau</w:t>
      </w:r>
      <w:r>
        <w:rPr>
          <w:spacing w:val="40"/>
        </w:rPr>
        <w:t> </w:t>
      </w:r>
      <w:r>
        <w:rPr/>
        <w:t>de</w:t>
      </w:r>
      <w:r>
        <w:rPr>
          <w:spacing w:val="40"/>
        </w:rPr>
        <w:t> </w:t>
      </w:r>
      <w:r>
        <w:rPr/>
        <w:t>sigilo</w:t>
      </w:r>
      <w:r>
        <w:rPr>
          <w:spacing w:val="40"/>
        </w:rPr>
        <w:t> </w:t>
      </w:r>
      <w:r>
        <w:rPr/>
        <w:t>no</w:t>
      </w:r>
      <w:r>
        <w:rPr>
          <w:spacing w:val="40"/>
        </w:rPr>
        <w:t> </w:t>
      </w:r>
      <w:r>
        <w:rPr/>
        <w:t>âmbito</w:t>
      </w:r>
      <w:r>
        <w:rPr>
          <w:spacing w:val="40"/>
        </w:rPr>
        <w:t> </w:t>
      </w:r>
      <w:r>
        <w:rPr/>
        <w:t>da</w:t>
      </w:r>
      <w:r>
        <w:rPr>
          <w:spacing w:val="80"/>
          <w:w w:val="150"/>
        </w:rPr>
        <w:t> </w:t>
      </w:r>
      <w:r>
        <w:rPr/>
        <w:t>Prefeitura de Joinville.</w:t>
      </w:r>
    </w:p>
    <w:p>
      <w:pPr>
        <w:pStyle w:val="Heading1"/>
        <w:spacing w:before="238"/>
        <w:ind w:left="864"/>
      </w:pPr>
      <w:r>
        <w:rPr/>
        <w:t>Informações</w:t>
      </w:r>
      <w:r>
        <w:rPr>
          <w:spacing w:val="-8"/>
        </w:rPr>
        <w:t> </w:t>
      </w:r>
      <w:r>
        <w:rPr/>
        <w:t>desclassificadas</w:t>
      </w:r>
      <w:r>
        <w:rPr>
          <w:spacing w:val="-8"/>
        </w:rPr>
        <w:t> </w:t>
      </w:r>
      <w:r>
        <w:rPr/>
        <w:t>nos</w:t>
      </w:r>
      <w:r>
        <w:rPr>
          <w:spacing w:val="-8"/>
        </w:rPr>
        <w:t> </w:t>
      </w:r>
      <w:r>
        <w:rPr/>
        <w:t>últimos</w:t>
      </w:r>
      <w:r>
        <w:rPr>
          <w:spacing w:val="-8"/>
        </w:rPr>
        <w:t> </w:t>
      </w:r>
      <w:r>
        <w:rPr/>
        <w:t>12</w:t>
      </w:r>
      <w:r>
        <w:rPr>
          <w:spacing w:val="-7"/>
        </w:rPr>
        <w:t> </w:t>
      </w:r>
      <w:r>
        <w:rPr>
          <w:spacing w:val="-2"/>
        </w:rPr>
        <w:t>meses:</w:t>
      </w:r>
    </w:p>
    <w:p>
      <w:pPr>
        <w:pStyle w:val="BodyText"/>
        <w:spacing w:before="68"/>
        <w:rPr>
          <w:rFonts w:ascii="Arial"/>
          <w:b/>
        </w:rPr>
      </w:pPr>
    </w:p>
    <w:p>
      <w:pPr>
        <w:pStyle w:val="BodyText"/>
        <w:spacing w:line="331" w:lineRule="auto"/>
        <w:ind w:left="144" w:firstLine="720"/>
      </w:pPr>
      <w:r>
        <w:rPr/>
        <w:t>Não</w:t>
      </w:r>
      <w:r>
        <w:rPr>
          <w:spacing w:val="40"/>
        </w:rPr>
        <w:t> </w:t>
      </w:r>
      <w:r>
        <w:rPr/>
        <w:t>houve</w:t>
      </w:r>
      <w:r>
        <w:rPr>
          <w:spacing w:val="40"/>
        </w:rPr>
        <w:t> </w:t>
      </w:r>
      <w:r>
        <w:rPr/>
        <w:t>desclassificação</w:t>
      </w:r>
      <w:r>
        <w:rPr>
          <w:spacing w:val="40"/>
        </w:rPr>
        <w:t> </w:t>
      </w:r>
      <w:r>
        <w:rPr/>
        <w:t>de</w:t>
      </w:r>
      <w:r>
        <w:rPr>
          <w:spacing w:val="40"/>
        </w:rPr>
        <w:t> </w:t>
      </w:r>
      <w:r>
        <w:rPr/>
        <w:t>informações</w:t>
      </w:r>
      <w:r>
        <w:rPr>
          <w:spacing w:val="40"/>
        </w:rPr>
        <w:t> </w:t>
      </w:r>
      <w:r>
        <w:rPr/>
        <w:t>com</w:t>
      </w:r>
      <w:r>
        <w:rPr>
          <w:spacing w:val="40"/>
        </w:rPr>
        <w:t> </w:t>
      </w:r>
      <w:r>
        <w:rPr/>
        <w:t>grau</w:t>
      </w:r>
      <w:r>
        <w:rPr>
          <w:spacing w:val="40"/>
        </w:rPr>
        <w:t> </w:t>
      </w:r>
      <w:r>
        <w:rPr/>
        <w:t>de</w:t>
      </w:r>
      <w:r>
        <w:rPr>
          <w:spacing w:val="40"/>
        </w:rPr>
        <w:t> </w:t>
      </w:r>
      <w:r>
        <w:rPr/>
        <w:t>sigilo</w:t>
      </w:r>
      <w:r>
        <w:rPr>
          <w:spacing w:val="40"/>
        </w:rPr>
        <w:t> </w:t>
      </w:r>
      <w:r>
        <w:rPr/>
        <w:t>nos</w:t>
      </w:r>
      <w:r>
        <w:rPr>
          <w:spacing w:val="40"/>
        </w:rPr>
        <w:t> </w:t>
      </w:r>
      <w:r>
        <w:rPr/>
        <w:t>últimos 12 meses no âmbito da Prefeitura de Joinville.</w:t>
      </w:r>
    </w:p>
    <w:p>
      <w:pPr>
        <w:pStyle w:val="BodyText"/>
        <w:spacing w:line="331" w:lineRule="auto" w:before="238"/>
        <w:ind w:left="144" w:right="92"/>
      </w:pPr>
      <w:r>
        <w:rPr/>
        <w:t>Para esclarecimentos, críticas ou sugestões relativas a este relatório, </w:t>
      </w:r>
      <w:hyperlink r:id="rId15">
        <w:r>
          <w:rPr>
            <w:color w:val="1154CC"/>
            <w:u w:val="single" w:color="1154CC"/>
          </w:rPr>
          <w:t>registrar</w:t>
        </w:r>
      </w:hyperlink>
      <w:r>
        <w:rPr>
          <w:color w:val="1154CC"/>
        </w:rPr>
        <w:t> </w:t>
      </w:r>
      <w:hyperlink r:id="rId15">
        <w:r>
          <w:rPr>
            <w:color w:val="1154CC"/>
            <w:u w:val="single" w:color="1154CC"/>
          </w:rPr>
          <w:t>manifestação</w:t>
        </w:r>
      </w:hyperlink>
      <w:r>
        <w:rPr/>
        <w:t>, por meio do formulário de Ouvidoria.</w:t>
      </w:r>
    </w:p>
    <w:p>
      <w:pPr>
        <w:pStyle w:val="BodyText"/>
      </w:pPr>
    </w:p>
    <w:p>
      <w:pPr>
        <w:pStyle w:val="BodyText"/>
        <w:spacing w:before="136"/>
      </w:pPr>
    </w:p>
    <w:p>
      <w:pPr>
        <w:pStyle w:val="BodyText"/>
        <w:spacing w:line="288" w:lineRule="auto"/>
        <w:ind w:left="3196" w:right="3331" w:hanging="4"/>
        <w:jc w:val="center"/>
      </w:pPr>
      <w:r>
        <w:rPr>
          <w:spacing w:val="-2"/>
        </w:rPr>
        <w:t>Atenciosamente, </w:t>
      </w:r>
      <w:r>
        <w:rPr/>
        <w:t>Simone</w:t>
      </w:r>
      <w:r>
        <w:rPr>
          <w:spacing w:val="-12"/>
        </w:rPr>
        <w:t> </w:t>
      </w:r>
      <w:r>
        <w:rPr/>
        <w:t>Sales</w:t>
      </w:r>
      <w:r>
        <w:rPr>
          <w:spacing w:val="-12"/>
        </w:rPr>
        <w:t> </w:t>
      </w:r>
      <w:r>
        <w:rPr/>
        <w:t>da</w:t>
      </w:r>
      <w:r>
        <w:rPr>
          <w:spacing w:val="-12"/>
        </w:rPr>
        <w:t> </w:t>
      </w:r>
      <w:r>
        <w:rPr/>
        <w:t>Silva</w:t>
      </w:r>
    </w:p>
    <w:p>
      <w:pPr>
        <w:pStyle w:val="BodyText"/>
        <w:spacing w:line="276" w:lineRule="exact"/>
        <w:ind w:left="121" w:right="259"/>
        <w:jc w:val="center"/>
      </w:pPr>
      <w:r>
        <w:rPr/>
        <w:t>Coordenadora</w:t>
      </w:r>
      <w:r>
        <w:rPr>
          <w:spacing w:val="-7"/>
        </w:rPr>
        <w:t> </w:t>
      </w:r>
      <w:r>
        <w:rPr/>
        <w:t>de</w:t>
      </w:r>
      <w:r>
        <w:rPr>
          <w:spacing w:val="-7"/>
        </w:rPr>
        <w:t> </w:t>
      </w:r>
      <w:r>
        <w:rPr>
          <w:spacing w:val="-2"/>
        </w:rPr>
        <w:t>Ouvidoria</w:t>
      </w:r>
    </w:p>
    <w:sectPr>
      <w:pgSz w:w="11910" w:h="16840"/>
      <w:pgMar w:header="0" w:footer="972" w:top="1320" w:bottom="116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32864">
          <wp:simplePos x="0" y="0"/>
          <wp:positionH relativeFrom="page">
            <wp:posOffset>3175</wp:posOffset>
          </wp:positionH>
          <wp:positionV relativeFrom="page">
            <wp:posOffset>9947961</wp:posOffset>
          </wp:positionV>
          <wp:extent cx="7556817" cy="74368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556817" cy="743686"/>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3" w:hanging="283"/>
      </w:pPr>
      <w:rPr>
        <w:rFonts w:hint="default" w:ascii="Arial MT" w:hAnsi="Arial MT" w:eastAsia="Arial MT" w:cs="Arial MT"/>
        <w:b w:val="0"/>
        <w:bCs w:val="0"/>
        <w:i w:val="0"/>
        <w:iCs w:val="0"/>
        <w:spacing w:val="0"/>
        <w:w w:val="101"/>
        <w:sz w:val="24"/>
        <w:szCs w:val="24"/>
        <w:lang w:val="pt-PT" w:eastAsia="en-US" w:bidi="ar-SA"/>
      </w:rPr>
    </w:lvl>
    <w:lvl w:ilvl="1">
      <w:start w:val="0"/>
      <w:numFmt w:val="bullet"/>
      <w:lvlText w:val="•"/>
      <w:lvlJc w:val="left"/>
      <w:pPr>
        <w:ind w:left="1667" w:hanging="283"/>
      </w:pPr>
      <w:rPr>
        <w:rFonts w:hint="default"/>
        <w:lang w:val="pt-PT" w:eastAsia="en-US" w:bidi="ar-SA"/>
      </w:rPr>
    </w:lvl>
    <w:lvl w:ilvl="2">
      <w:start w:val="0"/>
      <w:numFmt w:val="bullet"/>
      <w:lvlText w:val="•"/>
      <w:lvlJc w:val="left"/>
      <w:pPr>
        <w:ind w:left="2474" w:hanging="283"/>
      </w:pPr>
      <w:rPr>
        <w:rFonts w:hint="default"/>
        <w:lang w:val="pt-PT" w:eastAsia="en-US" w:bidi="ar-SA"/>
      </w:rPr>
    </w:lvl>
    <w:lvl w:ilvl="3">
      <w:start w:val="0"/>
      <w:numFmt w:val="bullet"/>
      <w:lvlText w:val="•"/>
      <w:lvlJc w:val="left"/>
      <w:pPr>
        <w:ind w:left="3281" w:hanging="283"/>
      </w:pPr>
      <w:rPr>
        <w:rFonts w:hint="default"/>
        <w:lang w:val="pt-PT" w:eastAsia="en-US" w:bidi="ar-SA"/>
      </w:rPr>
    </w:lvl>
    <w:lvl w:ilvl="4">
      <w:start w:val="0"/>
      <w:numFmt w:val="bullet"/>
      <w:lvlText w:val="•"/>
      <w:lvlJc w:val="left"/>
      <w:pPr>
        <w:ind w:left="4088" w:hanging="283"/>
      </w:pPr>
      <w:rPr>
        <w:rFonts w:hint="default"/>
        <w:lang w:val="pt-PT" w:eastAsia="en-US" w:bidi="ar-SA"/>
      </w:rPr>
    </w:lvl>
    <w:lvl w:ilvl="5">
      <w:start w:val="0"/>
      <w:numFmt w:val="bullet"/>
      <w:lvlText w:val="•"/>
      <w:lvlJc w:val="left"/>
      <w:pPr>
        <w:ind w:left="4895" w:hanging="283"/>
      </w:pPr>
      <w:rPr>
        <w:rFonts w:hint="default"/>
        <w:lang w:val="pt-PT" w:eastAsia="en-US" w:bidi="ar-SA"/>
      </w:rPr>
    </w:lvl>
    <w:lvl w:ilvl="6">
      <w:start w:val="0"/>
      <w:numFmt w:val="bullet"/>
      <w:lvlText w:val="•"/>
      <w:lvlJc w:val="left"/>
      <w:pPr>
        <w:ind w:left="5702" w:hanging="283"/>
      </w:pPr>
      <w:rPr>
        <w:rFonts w:hint="default"/>
        <w:lang w:val="pt-PT" w:eastAsia="en-US" w:bidi="ar-SA"/>
      </w:rPr>
    </w:lvl>
    <w:lvl w:ilvl="7">
      <w:start w:val="0"/>
      <w:numFmt w:val="bullet"/>
      <w:lvlText w:val="•"/>
      <w:lvlJc w:val="left"/>
      <w:pPr>
        <w:ind w:left="6509" w:hanging="283"/>
      </w:pPr>
      <w:rPr>
        <w:rFonts w:hint="default"/>
        <w:lang w:val="pt-PT" w:eastAsia="en-US" w:bidi="ar-SA"/>
      </w:rPr>
    </w:lvl>
    <w:lvl w:ilvl="8">
      <w:start w:val="0"/>
      <w:numFmt w:val="bullet"/>
      <w:lvlText w:val="•"/>
      <w:lvlJc w:val="left"/>
      <w:pPr>
        <w:ind w:left="7316" w:hanging="283"/>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79"/>
      <w:ind w:left="852"/>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852" w:hanging="282"/>
    </w:pPr>
    <w:rPr>
      <w:rFonts w:ascii="Arial" w:hAnsi="Arial" w:eastAsia="Arial" w:cs="Arial"/>
      <w:lang w:val="pt-PT" w:eastAsia="en-US" w:bidi="ar-SA"/>
    </w:rPr>
  </w:style>
  <w:style w:styleId="TableParagraph" w:type="paragraph">
    <w:name w:val="Table Paragraph"/>
    <w:basedOn w:val="Normal"/>
    <w:uiPriority w:val="1"/>
    <w:qFormat/>
    <w:pPr>
      <w:spacing w:before="38"/>
      <w:ind w:left="42"/>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sei.joinville.sc.gov.br/sei/publicacoes/controlador_publicacoes.php?acao=publicacao_visualizar&amp;id_documento=10000000405648&amp;id_orgao_publicacao=0" TargetMode="External"/><Relationship Id="rId8"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9"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0" Type="http://schemas.openxmlformats.org/officeDocument/2006/relationships/hyperlink" Target="https://www.joinville.sc.gov.br/servicos/registrar-pedido-de-informacao/" TargetMode="External"/><Relationship Id="rId11" Type="http://schemas.openxmlformats.org/officeDocument/2006/relationships/hyperlink" Target="http://www.planalto.gov.br/ccivil_03/_ato2011-2014/2011/lei/l12527.htm" TargetMode="Externa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hyperlink" Target="https://www.joinville.sc.gov.br/servicos/registrar-manifestacao-a-ouvidoria/"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2026-04-23T17:36:10Z</dcterms:created>
  <dcterms:modified xsi:type="dcterms:W3CDTF">2026-04-23T17:36:10Z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2026-01-29T00:00:00Z</vt:filetime>
  </property>
  <property fmtid="{D5CDD505-2E9C-101B-9397-08002B2CF9AE}" pid="4" name="LastSaved">
    <vt:filetime>2026-04-23T00:00:00Z</vt:filetime>
  </property>
  <property fmtid="{D5CDD505-2E9C-101B-9397-08002B2CF9AE}" pid="5" name="Producer">
    <vt:lpwstr>iLovePDF</vt:lpwstr>
  </property>
</Properties>
</file>