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PADRONIZADO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CHAMAMENTO PÚBLICO 03/2026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PONTOS E PONTÕES DE CULTURA DE JOINVILLE - SC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301.09090909090907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FOMENTO A PROJETOS CONTINUADOS DE PONTOS DE CULTURA</w:t>
      </w:r>
    </w:p>
    <w:p w:rsidR="00000000" w:rsidDel="00000000" w:rsidP="00000000" w:rsidRDefault="00000000" w:rsidRPr="00000000" w14:paraId="00000008">
      <w:pPr>
        <w:spacing w:before="240" w:line="261.8181818181818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="261.818181818181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09 - DECLARAÇÃO CONJUNTA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center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(Rubricar todas as páginas)</w:t>
      </w:r>
    </w:p>
    <w:p w:rsidR="00000000" w:rsidDel="00000000" w:rsidP="00000000" w:rsidRDefault="00000000" w:rsidRPr="00000000" w14:paraId="0000000B">
      <w:pPr>
        <w:spacing w:after="120" w:before="240" w:line="261.8181818181818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 </w:t>
      </w:r>
      <w:r w:rsidDel="00000000" w:rsidR="00000000" w:rsidRPr="00000000">
        <w:rPr>
          <w:color w:val="ff0000"/>
          <w:rtl w:val="0"/>
        </w:rPr>
        <w:t xml:space="preserve">(nome da pessoa responsável pela candidatura)</w:t>
      </w:r>
      <w:r w:rsidDel="00000000" w:rsidR="00000000" w:rsidRPr="00000000">
        <w:rPr>
          <w:rtl w:val="0"/>
        </w:rPr>
        <w:t xml:space="preserve">, residente e domiciliado(a) em ___________________________ </w:t>
      </w:r>
      <w:r w:rsidDel="00000000" w:rsidR="00000000" w:rsidRPr="00000000">
        <w:rPr>
          <w:color w:val="ff0000"/>
          <w:rtl w:val="0"/>
        </w:rPr>
        <w:t xml:space="preserve">(endereço residencial do dirigente)</w:t>
      </w:r>
      <w:r w:rsidDel="00000000" w:rsidR="00000000" w:rsidRPr="00000000">
        <w:rPr>
          <w:rtl w:val="0"/>
        </w:rPr>
        <w:t xml:space="preserve">, portador(a) da Carteira de Identidade n° ___________, CPF n° ___________, responsável pela inscrição da entidade cultural ___________________________ </w:t>
      </w:r>
      <w:r w:rsidDel="00000000" w:rsidR="00000000" w:rsidRPr="00000000">
        <w:rPr>
          <w:color w:val="ff0000"/>
          <w:rtl w:val="0"/>
        </w:rPr>
        <w:t xml:space="preserve">(nome da entidade cultural)</w:t>
      </w:r>
      <w:r w:rsidDel="00000000" w:rsidR="00000000" w:rsidRPr="00000000">
        <w:rPr>
          <w:rtl w:val="0"/>
        </w:rPr>
        <w:t xml:space="preserve">, CNPJ nº ___________________________, no referido Edital de Seleção para ampliação e fortalecimento da Política Nacional de Cultura Viva,</w:t>
      </w:r>
      <w:r w:rsidDel="00000000" w:rsidR="00000000" w:rsidRPr="00000000">
        <w:rPr>
          <w:b w:val="1"/>
          <w:bCs w:val="1"/>
          <w:rtl w:val="0"/>
        </w:rPr>
        <w:t xml:space="preserve"> DECLARO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Autorizar a </w:t>
      </w:r>
      <w:r w:rsidDel="00000000" w:rsidR="00000000" w:rsidRPr="00000000">
        <w:rPr>
          <w:color w:val="ff0000"/>
          <w:rtl w:val="0"/>
        </w:rPr>
        <w:t xml:space="preserve">XXXXXX (órgão responsável)</w:t>
      </w:r>
      <w:r w:rsidDel="00000000" w:rsidR="00000000" w:rsidRPr="00000000">
        <w:rPr>
          <w:rtl w:val="0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me enquadrar em quaisquer das vedações dispostas no Edital de Seleção, principalmente quanto ao disposto em seu item 4 (“quem não pode participar do edital”);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Concordar em 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color w:val="ff0000"/>
          <w:rtl w:val="0"/>
        </w:rPr>
        <w:t xml:space="preserve">XXXXXX (órgão responsável)</w:t>
      </w:r>
      <w:r w:rsidDel="00000000" w:rsidR="00000000" w:rsidRPr="00000000">
        <w:rPr>
          <w:rtl w:val="0"/>
        </w:rPr>
        <w:t xml:space="preserve"> e o Ministério da Cultura considerem apropriado;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existir plágio no projeto selecionado,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ter projetos vigentes ou em análise com o mesmo objeto e/ou despesas semelhantes às pleiteadas nesta proposta em qualquer esfera do governo;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durante as ações propostas, garantindo ainda exibições audiovisuais, se houver, que disponham de recursos de legendagem descritiva, audiodescrição e LIBRAS – Língua Brasileira de Sinais;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Disponibilizar livre acesso à população beneficiada para todas as ações propostas no projeto;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ciente que: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bens será transferida à Administração Pública;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ciente das regras de democratização dos recursos: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  <w:color w:val="1155cc"/>
          <w:u w:val="single"/>
        </w:rPr>
      </w:pP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Instrução Normativa MinC nº 1/2015, art. 21, 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salvo quando: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a) no ato de formalização do segundo TCC,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i w:val="1"/>
          <w:iCs w:val="1"/>
          <w:rtl w:val="0"/>
        </w:rPr>
        <w:t xml:space="preserve">; ou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b) quando uma mesma entidade celebre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i w:val="1"/>
          <w:iCs w:val="1"/>
          <w:rtl w:val="0"/>
        </w:rPr>
        <w:t xml:space="preserve">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salvo quando: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i w:val="1"/>
          <w:iCs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i w:val="1"/>
          <w:iCs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61.8181818181818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ainda existam vagas disponíveis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  <w:br w:type="textWrapping"/>
        <w:br w:type="textWrapping"/>
        <w:t xml:space="preserve"> </w:t>
      </w:r>
    </w:p>
    <w:p w:rsidR="00000000" w:rsidDel="00000000" w:rsidP="00000000" w:rsidRDefault="00000000" w:rsidRPr="00000000" w14:paraId="00000025">
      <w:pPr>
        <w:spacing w:after="120"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6">
      <w:pPr>
        <w:spacing w:after="120"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spacing w:after="120" w:before="240" w:line="261.8181818181818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8">
      <w:pPr>
        <w:spacing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29">
      <w:pPr>
        <w:spacing w:before="240" w:line="261.8181818181818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A">
      <w:pPr>
        <w:spacing w:before="240" w:line="261.8181818181818" w:lineRule="auto"/>
        <w:jc w:val="center"/>
        <w:rPr/>
      </w:pPr>
      <w:r w:rsidDel="00000000" w:rsidR="00000000" w:rsidRPr="00000000">
        <w:rPr>
          <w:rtl w:val="0"/>
        </w:rPr>
        <w:t xml:space="preserve">NOME COMPLETO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