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todos os empreendimentos.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PAVIMENTAÇÃO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hyperlink r:id="rId6">
              <w:r w:rsidDel="00000000" w:rsidR="00000000" w:rsidRPr="00000000">
                <w:rPr>
                  <w:b w:val="1"/>
                  <w:color w:val="ffffff"/>
                  <w:rtl w:val="0"/>
                </w:rPr>
                <w:t xml:space="preserve">seinfra.unp@joinville.sc.gov.br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Estimativa durante a obra do empreendimento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  <w:t xml:space="preserve">iagens de veículos leves por dia: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Viagens de veículos pesados por dia: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Estimativa de operação do empreendimento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  <w:t xml:space="preserve">iagens de veículos leves por dia: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Viagens de veículos pesados por dia: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empreendimento: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Levantamento, com fotos, do tipo e do estado de conservação da pavimentação existente no entorno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à pavimentação? Qual?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infra.unp@joinville.sc.gov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