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empreendimentos residenciais.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gabinete.saude@joinville.sc.gov.br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nº de moradores: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média salarial: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do empreendimento e das unidades de saúde no entorno: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saúde? Qual?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